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黑体" w:hAnsi="宋体" w:eastAsia="黑体" w:cs="黑体"/>
          <w:b/>
          <w:color w:val="auto"/>
          <w:sz w:val="39"/>
          <w:szCs w:val="39"/>
        </w:rPr>
      </w:pPr>
      <w:bookmarkStart w:id="0" w:name="_GoBack"/>
      <w:r>
        <w:rPr>
          <w:rFonts w:hint="eastAsia" w:ascii="黑体" w:hAnsi="宋体" w:eastAsia="黑体" w:cs="黑体"/>
          <w:b/>
          <w:color w:val="auto"/>
          <w:sz w:val="39"/>
          <w:szCs w:val="39"/>
          <w:bdr w:val="none" w:color="auto" w:sz="0" w:space="0"/>
        </w:rPr>
        <w:t>中华人民共和国2016年国民经济和社会发展统计公报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中华人民共和国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b/>
          <w:color w:val="333333"/>
          <w:kern w:val="0"/>
          <w:sz w:val="24"/>
          <w:szCs w:val="24"/>
          <w:bdr w:val="none" w:color="auto" w:sz="0" w:space="0"/>
          <w:lang w:val="en-US" w:eastAsia="zh-CN" w:bidi="ar"/>
        </w:rPr>
        <w:t>2016年国民经济和社会发展统计公报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t>中华人民共和国国家统计局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t>2017年2月28日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2016年，面对复杂多变的国际环境和国内繁重艰巨的改革发展稳定任务，在以习近平同志为核心的党中央坚强领导下，各地区各部门全面贯彻党的十八大和十八届三中、四中、五中、六中全会精神，认真落实党中央、国务院决策部署，统筹推进“五位一体”总体布局和协调推进“四个全面”战略布局，坚持稳中求进工作总基调，坚持新发展理念，以推进供给侧结构性改革为主线，适度扩大总需求，坚定推进改革，妥善应对风险挑战，引导形成良好社会预期，经济社会保持平稳健康发展，实现了“十三五”良好开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一、综合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初步核算，全年国内生产总值</w:t>
      </w:r>
      <w:r>
        <w:rPr>
          <w:rFonts w:hint="eastAsia" w:ascii="宋体" w:hAnsi="宋体" w:eastAsia="宋体" w:cs="宋体"/>
          <w:color w:val="0000FF"/>
          <w:kern w:val="0"/>
          <w:sz w:val="24"/>
          <w:szCs w:val="24"/>
          <w:bdr w:val="none" w:color="auto" w:sz="0" w:space="0"/>
          <w:vertAlign w:val="superscript"/>
          <w:lang w:val="en-US" w:eastAsia="zh-CN" w:bidi="ar"/>
        </w:rPr>
        <w:t>[2]</w:t>
      </w:r>
      <w:r>
        <w:rPr>
          <w:rFonts w:hint="eastAsia" w:ascii="宋体" w:hAnsi="宋体" w:eastAsia="宋体" w:cs="宋体"/>
          <w:color w:val="333333"/>
          <w:kern w:val="0"/>
          <w:sz w:val="24"/>
          <w:szCs w:val="24"/>
          <w:bdr w:val="none" w:color="auto" w:sz="0" w:space="0"/>
          <w:lang w:val="en-US" w:eastAsia="zh-CN" w:bidi="ar"/>
        </w:rPr>
        <w:t>744127亿元，比上年增长6.7%。其中，第一产业增加值63671亿元，增长3.3%；第二产业增加值296236亿元，增长6.1%；第三产业增加值384221亿元，增长7.8%。第一产业增加值占国内生产总值的比重为8.6%，第二产业增加值比重为39.8%，第三产业增加值比重为51.6%，比上年提高1.4个百分点。全年人均国内生产总值53980元，比上年增长6.1%。全年国民总收入</w:t>
      </w:r>
      <w:r>
        <w:rPr>
          <w:rFonts w:hint="eastAsia" w:ascii="宋体" w:hAnsi="宋体" w:eastAsia="宋体" w:cs="宋体"/>
          <w:color w:val="0000FF"/>
          <w:kern w:val="0"/>
          <w:sz w:val="24"/>
          <w:szCs w:val="24"/>
          <w:bdr w:val="none" w:color="auto" w:sz="0" w:space="0"/>
          <w:vertAlign w:val="superscript"/>
          <w:lang w:val="en-US" w:eastAsia="zh-CN" w:bidi="ar"/>
        </w:rPr>
        <w:t>[3]</w:t>
      </w:r>
      <w:r>
        <w:rPr>
          <w:rFonts w:hint="eastAsia" w:ascii="宋体" w:hAnsi="宋体" w:eastAsia="宋体" w:cs="宋体"/>
          <w:color w:val="333333"/>
          <w:kern w:val="0"/>
          <w:sz w:val="24"/>
          <w:szCs w:val="24"/>
          <w:bdr w:val="none" w:color="auto" w:sz="0" w:space="0"/>
          <w:lang w:val="en-US" w:eastAsia="zh-CN" w:bidi="ar"/>
        </w:rPr>
        <w:t>742352亿元，比上年增长6.9%。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"http://www.stats.gov.cn/tjsj/zxfb/201702/./W020170228373030303130_r75.gif"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47975"/>
            <wp:effectExtent l="0" t="0" r="0" b="952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4"/>
                    <a:stretch>
                      <a:fillRect/>
                    </a:stretch>
                  </pic:blipFill>
                  <pic:spPr>
                    <a:xfrm>
                      <a:off x="0" y="0"/>
                      <a:ext cx="501015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"http://www.stats.gov.cn/tjsj/zxfb/201702/./W020170228373030344168_r75.gif"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47975"/>
            <wp:effectExtent l="0" t="0" r="0" b="9525"/>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5"/>
                    <a:stretch>
                      <a:fillRect/>
                    </a:stretch>
                  </pic:blipFill>
                  <pic:spPr>
                    <a:xfrm>
                      <a:off x="0" y="0"/>
                      <a:ext cx="502920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大陆总人口138271万人，比上年末增加809万人，其中城镇常住人口79298万人，占总人口比重（常住人口城镇化率）为57.35%，比上年末提高1.25个百分点。户籍人口城镇化率为41.2%，比上年末提高1.3个百分点。全年出生人口1786万人，出生率为12.95‰；死亡人口977万人，死亡率为7.09‰；自然增长率为5.86‰。全国人户分离的人口</w:t>
      </w:r>
      <w:r>
        <w:rPr>
          <w:rFonts w:hint="eastAsia" w:ascii="宋体" w:hAnsi="宋体" w:eastAsia="宋体" w:cs="宋体"/>
          <w:color w:val="0000FF"/>
          <w:kern w:val="0"/>
          <w:sz w:val="24"/>
          <w:szCs w:val="24"/>
          <w:bdr w:val="none" w:color="auto" w:sz="0" w:space="0"/>
          <w:vertAlign w:val="superscript"/>
          <w:lang w:val="en-US" w:eastAsia="zh-CN" w:bidi="ar"/>
        </w:rPr>
        <w:t>[4]</w:t>
      </w:r>
      <w:r>
        <w:rPr>
          <w:rFonts w:hint="eastAsia" w:ascii="宋体" w:hAnsi="宋体" w:eastAsia="宋体" w:cs="宋体"/>
          <w:color w:val="333333"/>
          <w:kern w:val="0"/>
          <w:sz w:val="24"/>
          <w:szCs w:val="24"/>
          <w:bdr w:val="none" w:color="auto" w:sz="0" w:space="0"/>
          <w:lang w:val="en-US" w:eastAsia="zh-CN" w:bidi="ar"/>
        </w:rPr>
        <w:t>2.92亿人，其中流动人口</w:t>
      </w:r>
      <w:r>
        <w:rPr>
          <w:rFonts w:hint="eastAsia" w:ascii="宋体" w:hAnsi="宋体" w:eastAsia="宋体" w:cs="宋体"/>
          <w:color w:val="0000FF"/>
          <w:kern w:val="0"/>
          <w:sz w:val="24"/>
          <w:szCs w:val="24"/>
          <w:bdr w:val="none" w:color="auto" w:sz="0" w:space="0"/>
          <w:vertAlign w:val="superscript"/>
          <w:lang w:val="en-US" w:eastAsia="zh-CN" w:bidi="ar"/>
        </w:rPr>
        <w:t>[5]</w:t>
      </w:r>
      <w:r>
        <w:rPr>
          <w:rFonts w:hint="eastAsia" w:ascii="宋体" w:hAnsi="宋体" w:eastAsia="宋体" w:cs="宋体"/>
          <w:color w:val="333333"/>
          <w:kern w:val="0"/>
          <w:sz w:val="24"/>
          <w:szCs w:val="24"/>
          <w:bdr w:val="none" w:color="auto" w:sz="0" w:space="0"/>
          <w:lang w:val="en-US" w:eastAsia="zh-CN" w:bidi="ar"/>
        </w:rPr>
        <w:t>2.45亿人。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814"/>
        <w:gridCol w:w="1800"/>
        <w:gridCol w:w="1450"/>
        <w:gridCol w:w="2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064" w:type="dxa"/>
            <w:gridSpan w:val="3"/>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表1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2016年年末人口数及其构成</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4814" w:type="dxa"/>
            <w:tcBorders>
              <w:top w:val="nil"/>
              <w:left w:val="nil"/>
              <w:bottom w:val="single" w:color="000000" w:sz="8" w:space="0"/>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hanging="288"/>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1800" w:type="dxa"/>
            <w:tcBorders>
              <w:top w:val="nil"/>
              <w:left w:val="nil"/>
              <w:bottom w:val="single" w:color="000000" w:sz="8" w:space="0"/>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年末数（万人）</w:t>
            </w:r>
          </w:p>
        </w:tc>
        <w:tc>
          <w:tcPr>
            <w:tcW w:w="1450"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比重（%）</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全国总人口</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138271</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其中：城镇</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79298</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57.35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乡村</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58973</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其中：男性</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70815</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女性</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67456</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其中：0-15岁（含不满16周岁）</w:t>
            </w:r>
            <w:r>
              <w:rPr>
                <w:rFonts w:hint="eastAsia" w:ascii="宋体" w:hAnsi="宋体" w:eastAsia="宋体" w:cs="宋体"/>
                <w:snapToGrid w:val="0"/>
                <w:color w:val="0000FF"/>
                <w:kern w:val="0"/>
                <w:sz w:val="24"/>
                <w:szCs w:val="24"/>
                <w:bdr w:val="none" w:color="auto" w:sz="0" w:space="0"/>
                <w:lang w:val="en-US" w:eastAsia="zh-CN" w:bidi="ar"/>
              </w:rPr>
              <w:t>[6]</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24438</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16-59岁（含不满60周岁）</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90747</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14"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60周岁及以上</w:t>
            </w:r>
          </w:p>
        </w:tc>
        <w:tc>
          <w:tcPr>
            <w:tcW w:w="1800" w:type="dxa"/>
            <w:tcBorders>
              <w:top w:val="nil"/>
              <w:left w:val="nil"/>
              <w:bottom w:val="nil"/>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23086</w:t>
            </w:r>
          </w:p>
        </w:tc>
        <w:tc>
          <w:tcPr>
            <w:tcW w:w="1692"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14" w:type="dxa"/>
            <w:tcBorders>
              <w:top w:val="nil"/>
              <w:left w:val="nil"/>
              <w:bottom w:val="single" w:color="000000" w:sz="12" w:space="0"/>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其中：65周岁及以上</w:t>
            </w:r>
          </w:p>
        </w:tc>
        <w:tc>
          <w:tcPr>
            <w:tcW w:w="1800" w:type="dxa"/>
            <w:tcBorders>
              <w:top w:val="nil"/>
              <w:left w:val="nil"/>
              <w:bottom w:val="single" w:color="000000" w:sz="12" w:space="0"/>
              <w:right w:val="single" w:color="auto"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15003</w:t>
            </w:r>
          </w:p>
        </w:tc>
        <w:tc>
          <w:tcPr>
            <w:tcW w:w="1692" w:type="dxa"/>
            <w:gridSpan w:val="2"/>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814"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180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1450"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242"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年末全国就业人员77603万人，其中城镇就业人员41428万人。全年城镇新增就业1314万人。年末城镇登记失业率为4.02%。全国农民工</w:t>
      </w:r>
      <w:r>
        <w:rPr>
          <w:rFonts w:hint="eastAsia" w:ascii="宋体" w:hAnsi="宋体" w:eastAsia="宋体" w:cs="宋体"/>
          <w:color w:val="0000FF"/>
          <w:kern w:val="0"/>
          <w:sz w:val="24"/>
          <w:szCs w:val="24"/>
          <w:bdr w:val="none" w:color="auto" w:sz="0" w:space="0"/>
          <w:vertAlign w:val="superscript"/>
          <w:lang w:val="en-US" w:eastAsia="zh-CN" w:bidi="ar"/>
        </w:rPr>
        <w:t>[7]</w:t>
      </w:r>
      <w:r>
        <w:rPr>
          <w:rFonts w:hint="eastAsia" w:ascii="宋体" w:hAnsi="宋体" w:eastAsia="宋体" w:cs="宋体"/>
          <w:color w:val="333333"/>
          <w:kern w:val="0"/>
          <w:sz w:val="24"/>
          <w:szCs w:val="24"/>
          <w:bdr w:val="none" w:color="auto" w:sz="0" w:space="0"/>
          <w:lang w:val="en-US" w:eastAsia="zh-CN" w:bidi="ar"/>
        </w:rPr>
        <w:t>总量28171万人，比上年增长1.5%。其中，外出农民工16934万人，增长0.3%；本地农民工11237万人，增长3.4%。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"http://www.stats.gov.cn/tjsj/zxfb/201702/./W020170228373030385677_r75.gif"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676525"/>
            <wp:effectExtent l="0" t="0" r="0" b="9525"/>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029200" cy="267652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全年全员劳动生产率</w:t>
      </w:r>
      <w:r>
        <w:rPr>
          <w:rFonts w:hint="eastAsia" w:ascii="宋体" w:hAnsi="宋体" w:eastAsia="宋体" w:cs="宋体"/>
          <w:color w:val="0000FF"/>
          <w:kern w:val="0"/>
          <w:sz w:val="24"/>
          <w:szCs w:val="24"/>
          <w:bdr w:val="none" w:color="auto" w:sz="0" w:space="0"/>
          <w:vertAlign w:val="superscript"/>
          <w:lang w:val="en-US" w:eastAsia="zh-CN" w:bidi="ar"/>
        </w:rPr>
        <w:t>[8]</w:t>
      </w:r>
      <w:r>
        <w:rPr>
          <w:rFonts w:hint="eastAsia" w:ascii="宋体" w:hAnsi="宋体" w:eastAsia="宋体" w:cs="宋体"/>
          <w:color w:val="333333"/>
          <w:kern w:val="0"/>
          <w:sz w:val="24"/>
          <w:szCs w:val="24"/>
          <w:bdr w:val="none" w:color="auto" w:sz="0" w:space="0"/>
          <w:lang w:val="en-US" w:eastAsia="zh-CN" w:bidi="ar"/>
        </w:rPr>
        <w:t>为94825元/人，比上年提高6.4%。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"http://www.stats.gov.cn/tjsj/zxfb/201702/./W020170228373030423410_r75.gif"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57500"/>
            <wp:effectExtent l="0" t="0" r="0" b="0"/>
            <wp:docPr id="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9"/>
                    <pic:cNvPicPr>
                      <a:picLocks noChangeAspect="1"/>
                    </pic:cNvPicPr>
                  </pic:nvPicPr>
                  <pic:blipFill>
                    <a:blip r:embed="rId7"/>
                    <a:stretch>
                      <a:fillRect/>
                    </a:stretch>
                  </pic:blipFill>
                  <pic:spPr>
                    <a:xfrm>
                      <a:off x="0" y="0"/>
                      <a:ext cx="501015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全年居民消费价格比上年上涨2.0%。工业生产者出厂价格下降1.4%。工业生产者购进价格下降2.0%。固定资产投资价格下降0.6%。农产品生产者价格</w:t>
      </w:r>
      <w:r>
        <w:rPr>
          <w:rFonts w:hint="eastAsia" w:ascii="宋体" w:hAnsi="宋体" w:eastAsia="宋体" w:cs="宋体"/>
          <w:color w:val="0000FF"/>
          <w:kern w:val="0"/>
          <w:sz w:val="24"/>
          <w:szCs w:val="24"/>
          <w:bdr w:val="none" w:color="auto" w:sz="0" w:space="0"/>
          <w:vertAlign w:val="superscript"/>
          <w:lang w:val="en-US" w:eastAsia="zh-CN" w:bidi="ar"/>
        </w:rPr>
        <w:t>[9]</w:t>
      </w:r>
      <w:r>
        <w:rPr>
          <w:rFonts w:hint="eastAsia" w:ascii="宋体" w:hAnsi="宋体" w:eastAsia="宋体" w:cs="宋体"/>
          <w:color w:val="333333"/>
          <w:kern w:val="0"/>
          <w:sz w:val="24"/>
          <w:szCs w:val="24"/>
          <w:bdr w:val="none" w:color="auto" w:sz="0" w:space="0"/>
          <w:lang w:val="en-US" w:eastAsia="zh-CN" w:bidi="ar"/>
        </w:rPr>
        <w:t>上涨3.4%。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"http://www.stats.gov.cn/tjsj/zxfb/201702/./W020170228373030455792_r75.gif"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47975"/>
            <wp:effectExtent l="0" t="0" r="0" b="9525"/>
            <wp:docPr id="1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IMG_260"/>
                    <pic:cNvPicPr>
                      <a:picLocks noChangeAspect="1"/>
                    </pic:cNvPicPr>
                  </pic:nvPicPr>
                  <pic:blipFill>
                    <a:blip r:embed="rId8"/>
                    <a:stretch>
                      <a:fillRect/>
                    </a:stretch>
                  </pic:blipFill>
                  <pic:spPr>
                    <a:xfrm>
                      <a:off x="0" y="0"/>
                      <a:ext cx="502920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996"/>
        <w:gridCol w:w="1672"/>
        <w:gridCol w:w="1304"/>
        <w:gridCol w:w="13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6" w:type="dxa"/>
            <w:gridSpan w:val="4"/>
            <w:tcBorders>
              <w:top w:val="nil"/>
              <w:left w:val="nil"/>
              <w:bottom w:val="nil"/>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表2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2016年居民消费价格比上年涨跌幅度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8306" w:type="dxa"/>
            <w:gridSpan w:val="4"/>
            <w:tcBorders>
              <w:top w:val="nil"/>
              <w:left w:val="nil"/>
              <w:bottom w:val="single" w:color="auto"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jc w:val="center"/>
        </w:trPr>
        <w:tc>
          <w:tcPr>
            <w:tcW w:w="3996" w:type="dxa"/>
            <w:vMerge w:val="restart"/>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1672" w:type="dxa"/>
            <w:vMerge w:val="restart"/>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全　 国</w:t>
            </w:r>
          </w:p>
        </w:tc>
        <w:tc>
          <w:tcPr>
            <w:tcW w:w="2638" w:type="dxa"/>
            <w:gridSpan w:val="2"/>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jc w:val="center"/>
        </w:trPr>
        <w:tc>
          <w:tcPr>
            <w:tcW w:w="3996" w:type="dxa"/>
            <w:vMerge w:val="continue"/>
            <w:tcBorders>
              <w:top w:val="nil"/>
              <w:left w:val="nil"/>
              <w:bottom w:val="single" w:color="000000" w:sz="8" w:space="0"/>
              <w:right w:val="single" w:color="000000" w:sz="8" w:space="0"/>
            </w:tcBorders>
            <w:shd w:val="clear"/>
            <w:vAlign w:val="center"/>
          </w:tcPr>
          <w:p>
            <w:pPr>
              <w:keepNext w:val="0"/>
              <w:keepLines w:val="0"/>
              <w:pageBreakBefore w:val="0"/>
              <w:kinsoku/>
              <w:wordWrap/>
              <w:overflowPunct/>
              <w:topLinePunct w:val="0"/>
              <w:autoSpaceDE/>
              <w:autoSpaceDN/>
              <w:bidi w:val="0"/>
              <w:adjustRightInd/>
              <w:spacing w:before="0" w:beforeLines="0" w:after="0" w:afterLines="0" w:line="240" w:lineRule="auto"/>
              <w:textAlignment w:val="auto"/>
              <w:rPr>
                <w:rFonts w:hint="eastAsia" w:ascii="宋体" w:hAnsi="宋体" w:eastAsia="宋体" w:cs="宋体"/>
                <w:color w:val="333333"/>
                <w:sz w:val="18"/>
                <w:szCs w:val="18"/>
              </w:rPr>
            </w:pPr>
          </w:p>
        </w:tc>
        <w:tc>
          <w:tcPr>
            <w:tcW w:w="1672" w:type="dxa"/>
            <w:vMerge w:val="continue"/>
            <w:tcBorders>
              <w:top w:val="nil"/>
              <w:left w:val="nil"/>
              <w:bottom w:val="single" w:color="000000" w:sz="8" w:space="0"/>
              <w:right w:val="single" w:color="000000" w:sz="8" w:space="0"/>
            </w:tcBorders>
            <w:shd w:val="clear"/>
            <w:vAlign w:val="center"/>
          </w:tcPr>
          <w:p>
            <w:pPr>
              <w:keepNext w:val="0"/>
              <w:keepLines w:val="0"/>
              <w:pageBreakBefore w:val="0"/>
              <w:kinsoku/>
              <w:wordWrap/>
              <w:overflowPunct/>
              <w:topLinePunct w:val="0"/>
              <w:autoSpaceDE/>
              <w:autoSpaceDN/>
              <w:bidi w:val="0"/>
              <w:adjustRightInd/>
              <w:spacing w:before="0" w:beforeLines="0" w:after="0" w:afterLines="0" w:line="240" w:lineRule="auto"/>
              <w:textAlignment w:val="auto"/>
              <w:rPr>
                <w:rFonts w:hint="eastAsia" w:ascii="宋体" w:hAnsi="宋体" w:eastAsia="宋体" w:cs="宋体"/>
                <w:color w:val="333333"/>
                <w:sz w:val="18"/>
                <w:szCs w:val="18"/>
              </w:rPr>
            </w:pPr>
          </w:p>
        </w:tc>
        <w:tc>
          <w:tcPr>
            <w:tcW w:w="1304"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城　 市</w:t>
            </w:r>
          </w:p>
        </w:tc>
        <w:tc>
          <w:tcPr>
            <w:tcW w:w="1334"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农　 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居民消费价格</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其中：食品烟酒</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303"/>
              </w:tabs>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衣　着</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　　</w:t>
            </w:r>
            <w:r>
              <w:rPr>
                <w:rFonts w:hint="eastAsia" w:ascii="宋体" w:hAnsi="宋体" w:eastAsia="宋体" w:cs="宋体"/>
                <w:snapToGrid w:val="0"/>
                <w:color w:val="333333"/>
                <w:kern w:val="0"/>
                <w:sz w:val="24"/>
                <w:szCs w:val="24"/>
                <w:bdr w:val="none" w:color="auto" w:sz="0" w:space="0"/>
                <w:lang w:val="en-US" w:eastAsia="zh-CN" w:bidi="ar"/>
              </w:rPr>
              <w:t>　　　 居　住</w:t>
            </w:r>
            <w:r>
              <w:rPr>
                <w:rFonts w:hint="eastAsia" w:ascii="宋体" w:hAnsi="宋体" w:eastAsia="宋体" w:cs="宋体"/>
                <w:snapToGrid w:val="0"/>
                <w:color w:val="0000FF"/>
                <w:kern w:val="0"/>
                <w:sz w:val="24"/>
                <w:szCs w:val="24"/>
                <w:bdr w:val="none" w:color="auto" w:sz="0" w:space="0"/>
                <w:vertAlign w:val="superscript"/>
                <w:lang w:val="en-US" w:eastAsia="zh-CN" w:bidi="ar"/>
              </w:rPr>
              <w:t>[10]</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生活用品及服务</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0.5</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0.5</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交通和通信</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教育文化和娱乐</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99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医疗保健</w:t>
            </w:r>
          </w:p>
        </w:tc>
        <w:tc>
          <w:tcPr>
            <w:tcW w:w="167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w:t>
            </w:r>
          </w:p>
        </w:tc>
        <w:tc>
          <w:tcPr>
            <w:tcW w:w="13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4.4</w:t>
            </w:r>
          </w:p>
        </w:tc>
        <w:tc>
          <w:tcPr>
            <w:tcW w:w="1334"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996"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其他用品和服务</w:t>
            </w:r>
          </w:p>
        </w:tc>
        <w:tc>
          <w:tcPr>
            <w:tcW w:w="1672"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2.8</w:t>
            </w:r>
          </w:p>
        </w:tc>
        <w:tc>
          <w:tcPr>
            <w:tcW w:w="130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w:t>
            </w:r>
          </w:p>
        </w:tc>
        <w:tc>
          <w:tcPr>
            <w:tcW w:w="1334"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12月份70个大中城市新建商品住宅销售价格月同比上涨的城市个数为65个，下降的为5个；月环比上涨的城市个数为46个，比年内高点减少19个，持平的为4个，下降的为20个。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"http://www.stats.gov.cn/tjsj/zxfb/201702/./W020170228373030496751_r75.gif"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47975"/>
            <wp:effectExtent l="0" t="0" r="0" b="9525"/>
            <wp:docPr id="1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IMG_261"/>
                    <pic:cNvPicPr>
                      <a:picLocks noChangeAspect="1"/>
                    </pic:cNvPicPr>
                  </pic:nvPicPr>
                  <pic:blipFill>
                    <a:blip r:embed="rId9"/>
                    <a:stretch>
                      <a:fillRect/>
                    </a:stretch>
                  </pic:blipFill>
                  <pic:spPr>
                    <a:xfrm>
                      <a:off x="0" y="0"/>
                      <a:ext cx="502920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全年全国一般公共预算收入159552亿元，比上年同口径</w:t>
      </w:r>
      <w:r>
        <w:rPr>
          <w:rFonts w:hint="eastAsia" w:ascii="宋体" w:hAnsi="宋体" w:eastAsia="宋体" w:cs="宋体"/>
          <w:color w:val="0000FF"/>
          <w:kern w:val="0"/>
          <w:sz w:val="24"/>
          <w:szCs w:val="24"/>
          <w:bdr w:val="none" w:color="auto" w:sz="0" w:space="0"/>
          <w:vertAlign w:val="superscript"/>
          <w:lang w:val="en-US" w:eastAsia="zh-CN" w:bidi="ar"/>
        </w:rPr>
        <w:t>[11]</w:t>
      </w:r>
      <w:r>
        <w:rPr>
          <w:rFonts w:hint="eastAsia" w:ascii="宋体" w:hAnsi="宋体" w:eastAsia="宋体" w:cs="宋体"/>
          <w:color w:val="333333"/>
          <w:kern w:val="0"/>
          <w:sz w:val="24"/>
          <w:szCs w:val="24"/>
          <w:bdr w:val="none" w:color="auto" w:sz="0" w:space="0"/>
          <w:lang w:val="en-US" w:eastAsia="zh-CN" w:bidi="ar"/>
        </w:rPr>
        <w:t>增加6828亿元，增长4.5%，其中税收收入130354亿元，增加5432亿元，增长4.3%。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"http://www.stats.gov.cn/tjsj/zxfb/201702/./W020170228373030533966_r75.gif"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57500"/>
            <wp:effectExtent l="0" t="0" r="0" b="0"/>
            <wp:docPr id="1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IMG_262"/>
                    <pic:cNvPicPr>
                      <a:picLocks noChangeAspect="1"/>
                    </pic:cNvPicPr>
                  </pic:nvPicPr>
                  <pic:blipFill>
                    <a:blip r:embed="rId10"/>
                    <a:stretch>
                      <a:fillRect/>
                    </a:stretch>
                  </pic:blipFill>
                  <pic:spPr>
                    <a:xfrm>
                      <a:off x="0" y="0"/>
                      <a:ext cx="501015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ascii="楷体" w:hAnsi="楷体" w:eastAsia="楷体" w:cs="楷体"/>
          <w:color w:val="333333"/>
          <w:kern w:val="0"/>
          <w:sz w:val="24"/>
          <w:szCs w:val="24"/>
          <w:bdr w:val="none" w:color="auto" w:sz="0" w:space="0"/>
          <w:lang w:val="en-US" w:eastAsia="zh-CN" w:bidi="ar"/>
        </w:rPr>
        <w:t>　　注：图中</w:t>
      </w:r>
      <w:r>
        <w:rPr>
          <w:rFonts w:hint="eastAsia" w:ascii="楷体" w:hAnsi="楷体" w:eastAsia="楷体" w:cs="楷体"/>
          <w:color w:val="333333"/>
          <w:kern w:val="0"/>
          <w:sz w:val="24"/>
          <w:szCs w:val="24"/>
          <w:bdr w:val="none" w:color="auto" w:sz="0" w:space="0"/>
          <w:lang w:val="en-US" w:eastAsia="zh-CN" w:bidi="ar"/>
        </w:rPr>
        <w:t>2012年至2015年数据为全国一般公共预算收入决算数，2016年为执行数。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年末国家外汇储备30105亿美元，比上年末减少3198亿美元。全年人民币平均汇率为1美元兑6.6423元人民币，比上年贬值6.2%。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"http://www.stats.gov.cn/tjsj/zxfb/201702/./W020170228373030562087_r75.gif"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47975"/>
            <wp:effectExtent l="0" t="0" r="0" b="9525"/>
            <wp:docPr id="1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63"/>
                    <pic:cNvPicPr>
                      <a:picLocks noChangeAspect="1"/>
                    </pic:cNvPicPr>
                  </pic:nvPicPr>
                  <pic:blipFill>
                    <a:blip r:embed="rId11"/>
                    <a:stretch>
                      <a:fillRect/>
                    </a:stretch>
                  </pic:blipFill>
                  <pic:spPr>
                    <a:xfrm>
                      <a:off x="0" y="0"/>
                      <a:ext cx="502920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二、农业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粮食种植面积11303万公顷，比上年减少31万公顷。其中，小麦种植面积2419万公顷，增加5万公顷；稻谷种植面积3016万公顷，减少5万公顷；玉米种植面积3676万公顷，减少136万公顷。棉花种植面积338万公顷，减少42万公顷。油料种植面积1412万公顷，增加8万公顷。糖料种植面积168万公顷，减少6万公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粮食产量61624万吨，比上年减少520万吨，减产0.8%。其中，夏粮产量13920万吨，减产1.2%；早稻产量3278万吨，减产2.7%；秋粮产量44426万吨，减产0.6%。全年谷物产量56517万吨，比上年减产1.2%。其中，稻谷产量20693万吨，减产0.6%；小麦产量12885万吨，减产1.0%；玉米产量21955万吨，减产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"http://www.stats.gov.cn/tjsj/zxfb/201702/./W020170228373030595851_r75.gif"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575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502920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全年棉花产量534万吨，比上年减产4.6%。油料产量3613万吨，增产2.2%。糖料产量12299万吨，减产1.6%。茶叶产量241万吨，增产7.4%。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肉类总产量8540万吨，比上年下降1.0%。其中，猪肉产量5299万吨，下降3.4%；牛肉产量717万吨，增长2.4%；羊肉产量459万吨，增长4.2%；禽肉产量1888万吨，增长3.4%。禽蛋产量3095万吨，增长3.2%。牛奶产量3602万吨，下降4.1%。年末生猪存栏43504万头，下降3.6%；生猪出栏68502万头，下降3.3%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全年水产品产量6900万吨，比上年增长3.0%。其中，养殖水产品产量5156万吨，增长4.4%；捕捞水产品产量1744万吨，下降1.0%。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全年木材产量6683万立方米，比上年下降7.0%。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全年新增耕地灌溉面积118万公顷，新增节水灌溉面积211万公顷。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三、工业和建筑业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部工业增加值247860亿元，比上年增长6.0%。规模以上工业增加值增长6.0%。在规模以上工业中，分经济类型看，国有控股企业增长2.0%；集体企业下降1.3%，股份制企业增长6.9%，外商及港澳台商投资企业增长4.5%；私营企业增长7.5%。分门类看，采矿业下降1.0%，制造业增长6.8%，电力、热力、燃气及水生产和供应业增长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"http://www.stats.gov.cn/tjsj/zxfb/201702/./W020170228373030630830_r75.gif"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47975"/>
            <wp:effectExtent l="0" t="0" r="0" b="9525"/>
            <wp:docPr id="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65"/>
                    <pic:cNvPicPr>
                      <a:picLocks noChangeAspect="1"/>
                    </pic:cNvPicPr>
                  </pic:nvPicPr>
                  <pic:blipFill>
                    <a:blip r:embed="rId13"/>
                    <a:stretch>
                      <a:fillRect/>
                    </a:stretch>
                  </pic:blipFill>
                  <pic:spPr>
                    <a:xfrm>
                      <a:off x="0" y="0"/>
                      <a:ext cx="501015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规模以上工业中，农副食品加工业增加值比上年增长6.1%，纺织业增长5.5%，化学原料和化学制品制造业增长7.7%，非金属矿物制品业增长6.5%，黑色金属冶炼和压延加工业下降1.7%，通用设备制造业增长5.9%，专用设备制造业增长6.7%，汽车制造业增长15.5%，电气机械和器材制造业增长8.5%，计算机、通信和其他电子设备制造业增长10.0%，电力、热力生产和供应业增长4.8%。工业战略性新兴产业</w:t>
      </w:r>
      <w:r>
        <w:rPr>
          <w:rFonts w:hint="eastAsia" w:ascii="宋体" w:hAnsi="宋体" w:eastAsia="宋体" w:cs="宋体"/>
          <w:color w:val="0000FF"/>
          <w:kern w:val="0"/>
          <w:sz w:val="24"/>
          <w:szCs w:val="24"/>
          <w:bdr w:val="none" w:color="auto" w:sz="0" w:space="0"/>
          <w:vertAlign w:val="superscript"/>
          <w:lang w:val="en-US" w:eastAsia="zh-CN" w:bidi="ar"/>
        </w:rPr>
        <w:t>[12]</w:t>
      </w:r>
      <w:r>
        <w:rPr>
          <w:rFonts w:hint="eastAsia" w:ascii="宋体" w:hAnsi="宋体" w:eastAsia="宋体" w:cs="宋体"/>
          <w:color w:val="333333"/>
          <w:kern w:val="0"/>
          <w:sz w:val="24"/>
          <w:szCs w:val="24"/>
          <w:bdr w:val="none" w:color="auto" w:sz="0" w:space="0"/>
          <w:lang w:val="en-US" w:eastAsia="zh-CN" w:bidi="ar"/>
        </w:rPr>
        <w:t>增加值增长10.5%。高技术制造业</w:t>
      </w:r>
      <w:r>
        <w:rPr>
          <w:rFonts w:hint="eastAsia" w:ascii="宋体" w:hAnsi="宋体" w:eastAsia="宋体" w:cs="宋体"/>
          <w:color w:val="0000FF"/>
          <w:kern w:val="0"/>
          <w:sz w:val="24"/>
          <w:szCs w:val="24"/>
          <w:bdr w:val="none" w:color="auto" w:sz="0" w:space="0"/>
          <w:vertAlign w:val="superscript"/>
          <w:lang w:val="en-US" w:eastAsia="zh-CN" w:bidi="ar"/>
        </w:rPr>
        <w:t>[13]</w:t>
      </w:r>
      <w:r>
        <w:rPr>
          <w:rFonts w:hint="eastAsia" w:ascii="宋体" w:hAnsi="宋体" w:eastAsia="宋体" w:cs="宋体"/>
          <w:color w:val="333333"/>
          <w:kern w:val="0"/>
          <w:sz w:val="24"/>
          <w:szCs w:val="24"/>
          <w:bdr w:val="none" w:color="auto" w:sz="0" w:space="0"/>
          <w:lang w:val="en-US" w:eastAsia="zh-CN" w:bidi="ar"/>
        </w:rPr>
        <w:t>增加值增长10.8%，占规模以上工业增加值的比重为12.4%。装备制造业</w:t>
      </w:r>
      <w:r>
        <w:rPr>
          <w:rFonts w:hint="eastAsia" w:ascii="宋体" w:hAnsi="宋体" w:eastAsia="宋体" w:cs="宋体"/>
          <w:color w:val="0000FF"/>
          <w:kern w:val="0"/>
          <w:sz w:val="24"/>
          <w:szCs w:val="24"/>
          <w:bdr w:val="none" w:color="auto" w:sz="0" w:space="0"/>
          <w:vertAlign w:val="superscript"/>
          <w:lang w:val="en-US" w:eastAsia="zh-CN" w:bidi="ar"/>
        </w:rPr>
        <w:t>[14]</w:t>
      </w:r>
      <w:r>
        <w:rPr>
          <w:rFonts w:hint="eastAsia" w:ascii="宋体" w:hAnsi="宋体" w:eastAsia="宋体" w:cs="宋体"/>
          <w:color w:val="333333"/>
          <w:kern w:val="0"/>
          <w:sz w:val="24"/>
          <w:szCs w:val="24"/>
          <w:bdr w:val="none" w:color="auto" w:sz="0" w:space="0"/>
          <w:lang w:val="en-US" w:eastAsia="zh-CN" w:bidi="ar"/>
        </w:rPr>
        <w:t>增加值增长9.5%，占规模以上工业增加值的比重为32.9%。六大高耗能行业</w:t>
      </w:r>
      <w:r>
        <w:rPr>
          <w:rFonts w:hint="eastAsia" w:ascii="宋体" w:hAnsi="宋体" w:eastAsia="宋体" w:cs="宋体"/>
          <w:color w:val="0000FF"/>
          <w:kern w:val="0"/>
          <w:sz w:val="24"/>
          <w:szCs w:val="24"/>
          <w:bdr w:val="none" w:color="auto" w:sz="0" w:space="0"/>
          <w:vertAlign w:val="superscript"/>
          <w:lang w:val="en-US" w:eastAsia="zh-CN" w:bidi="ar"/>
        </w:rPr>
        <w:t>[15]</w:t>
      </w:r>
      <w:r>
        <w:rPr>
          <w:rFonts w:hint="eastAsia" w:ascii="宋体" w:hAnsi="宋体" w:eastAsia="宋体" w:cs="宋体"/>
          <w:color w:val="333333"/>
          <w:kern w:val="0"/>
          <w:sz w:val="24"/>
          <w:szCs w:val="24"/>
          <w:bdr w:val="none" w:color="auto" w:sz="0" w:space="0"/>
          <w:lang w:val="en-US" w:eastAsia="zh-CN" w:bidi="ar"/>
        </w:rPr>
        <w:t>增加值增长5.2%，占规模以上工业增加值的比重为28.1%。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390"/>
        <w:gridCol w:w="1223"/>
        <w:gridCol w:w="2068"/>
        <w:gridCol w:w="16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表3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2016年主要工业产品产量及其增长速度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390"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产品名称</w:t>
            </w:r>
          </w:p>
        </w:tc>
        <w:tc>
          <w:tcPr>
            <w:tcW w:w="1223"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单　位</w:t>
            </w:r>
          </w:p>
        </w:tc>
        <w:tc>
          <w:tcPr>
            <w:tcW w:w="206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产　量</w:t>
            </w:r>
          </w:p>
        </w:tc>
        <w:tc>
          <w:tcPr>
            <w:tcW w:w="1625"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纱</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3732.6</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5.5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布</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亿米</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906.8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化学纤维</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4943.7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成品糖</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1443.3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卷　烟</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亿支</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23825.8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彩色电视机</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15769.6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其中：液晶电视机</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15713.6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9.2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其中：智能电视</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9310.1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11.1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家用电冰箱</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8481.6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6.1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房间空气调节器</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14342.4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一次能源生产总量</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亿吨标准煤</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34.6</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原　煤</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34.1</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原　油</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19968.5</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天然气</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亿立方米</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1368.7</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发电量</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亿千瓦小时</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61424.9</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其中：火电</w:t>
            </w:r>
            <w:r>
              <w:rPr>
                <w:rFonts w:hint="eastAsia" w:ascii="宋体" w:hAnsi="宋体" w:eastAsia="宋体" w:cs="宋体"/>
                <w:snapToGrid w:val="0"/>
                <w:color w:val="0000FF"/>
                <w:kern w:val="0"/>
                <w:sz w:val="24"/>
                <w:szCs w:val="24"/>
                <w:bdr w:val="none" w:color="auto" w:sz="0" w:space="0"/>
                <w:vertAlign w:val="superscript"/>
                <w:lang w:val="en-US" w:eastAsia="zh-CN" w:bidi="ar"/>
              </w:rPr>
              <w:t>[16]</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亿千瓦小时</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44370.7</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水电</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亿千瓦小时</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11933.7</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核电</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亿千瓦小时</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2132.9</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粗　钢</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80836.6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0.6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钢　材</w:t>
            </w:r>
            <w:r>
              <w:rPr>
                <w:rFonts w:hint="eastAsia" w:ascii="宋体" w:hAnsi="宋体" w:eastAsia="宋体" w:cs="宋体"/>
                <w:color w:val="0000FF"/>
                <w:kern w:val="0"/>
                <w:sz w:val="24"/>
                <w:szCs w:val="24"/>
                <w:bdr w:val="none" w:color="auto" w:sz="0" w:space="0"/>
                <w:vertAlign w:val="superscript"/>
                <w:lang w:val="en-US" w:eastAsia="zh-CN" w:bidi="ar"/>
              </w:rPr>
              <w:t>[</w:t>
            </w:r>
            <w:r>
              <w:rPr>
                <w:rFonts w:hint="eastAsia" w:ascii="宋体" w:hAnsi="宋体" w:eastAsia="宋体" w:cs="宋体"/>
                <w:snapToGrid w:val="0"/>
                <w:color w:val="0000FF"/>
                <w:kern w:val="0"/>
                <w:sz w:val="24"/>
                <w:szCs w:val="24"/>
                <w:bdr w:val="none" w:color="auto" w:sz="0" w:space="0"/>
                <w:vertAlign w:val="superscript"/>
                <w:lang w:val="en-US" w:eastAsia="zh-CN" w:bidi="ar"/>
              </w:rPr>
              <w:t>17</w:t>
            </w:r>
            <w:r>
              <w:rPr>
                <w:rFonts w:hint="eastAsia" w:ascii="宋体" w:hAnsi="宋体" w:eastAsia="宋体" w:cs="宋体"/>
                <w:color w:val="0000FF"/>
                <w:kern w:val="0"/>
                <w:sz w:val="24"/>
                <w:szCs w:val="24"/>
                <w:bdr w:val="none" w:color="auto" w:sz="0" w:space="0"/>
                <w:vertAlign w:val="superscript"/>
                <w:lang w:val="en-US" w:eastAsia="zh-CN" w:bidi="ar"/>
              </w:rPr>
              <w:t>]</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113801.2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十种有色金属</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5310.3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3.0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其中：精炼铜（电解铜）</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843.6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6.0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105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原铝（电解铝）</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3187.3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1.5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水　泥</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24.1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硫　酸（折100%）</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8889.1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烧　碱（折100%）</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3283.9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8.7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乙　烯</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1781.1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3.9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化　肥（折100%）</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7128.6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发电机组（发电设备）</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万千瓦</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13218.4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6.3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汽　车</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万辆</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2811.9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其中：基本型乘用车（轿车）</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万辆</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1211.1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4.1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945"/>
              <w:jc w:val="left"/>
              <w:textAlignment w:val="auto"/>
            </w:pPr>
            <w:r>
              <w:rPr>
                <w:rFonts w:hint="eastAsia" w:ascii="宋体" w:hAnsi="宋体" w:eastAsia="宋体" w:cs="宋体"/>
                <w:snapToGrid w:val="0"/>
                <w:color w:val="333333"/>
                <w:kern w:val="0"/>
                <w:sz w:val="24"/>
                <w:szCs w:val="24"/>
                <w:bdr w:val="none" w:color="auto" w:sz="0" w:space="0"/>
                <w:lang w:val="en-US" w:eastAsia="zh-CN" w:bidi="ar"/>
              </w:rPr>
              <w:t>运动型多用途乘用车（SUV）</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万辆</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914.4</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42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其中：新能源汽车</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万辆</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45.9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40.0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大中型拖拉机</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63.0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集成电路</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亿块</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1318.0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程控交换机</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万线</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1457.7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-22.5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移动通信手持机</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205819.3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其中：智能手机</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153764.1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9.9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39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微型计算机设备</w:t>
            </w:r>
          </w:p>
        </w:tc>
        <w:tc>
          <w:tcPr>
            <w:tcW w:w="122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20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29008.5 </w:t>
            </w:r>
          </w:p>
        </w:tc>
        <w:tc>
          <w:tcPr>
            <w:tcW w:w="162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-7.7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390"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工业机器人</w:t>
            </w:r>
          </w:p>
        </w:tc>
        <w:tc>
          <w:tcPr>
            <w:tcW w:w="1223"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台（套）</w:t>
            </w:r>
          </w:p>
        </w:tc>
        <w:tc>
          <w:tcPr>
            <w:tcW w:w="206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72426.0 </w:t>
            </w:r>
          </w:p>
        </w:tc>
        <w:tc>
          <w:tcPr>
            <w:tcW w:w="1625"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 xml:space="preserve">30.4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年末全国发电装机容量164575万千瓦，比上年末增长8.2%。其中</w:t>
      </w:r>
      <w:r>
        <w:rPr>
          <w:rFonts w:hint="eastAsia" w:ascii="宋体" w:hAnsi="宋体" w:eastAsia="宋体" w:cs="宋体"/>
          <w:color w:val="0000FF"/>
          <w:kern w:val="0"/>
          <w:sz w:val="24"/>
          <w:szCs w:val="24"/>
          <w:bdr w:val="none" w:color="auto" w:sz="0" w:space="0"/>
          <w:vertAlign w:val="superscript"/>
          <w:lang w:val="en-US" w:eastAsia="zh-CN" w:bidi="ar"/>
        </w:rPr>
        <w:t>[18]</w:t>
      </w:r>
      <w:r>
        <w:rPr>
          <w:rFonts w:hint="eastAsia" w:ascii="宋体" w:hAnsi="宋体" w:eastAsia="宋体" w:cs="宋体"/>
          <w:color w:val="333333"/>
          <w:kern w:val="0"/>
          <w:sz w:val="24"/>
          <w:szCs w:val="24"/>
          <w:bdr w:val="none" w:color="auto" w:sz="0" w:space="0"/>
          <w:lang w:val="en-US" w:eastAsia="zh-CN" w:bidi="ar"/>
        </w:rPr>
        <w:t>，火电装机容量105388万千瓦，增长5.3%；水电装机容量33211万千瓦，增长3.9%；核电装机容量3364万千瓦，增长23.8%；并网风电装机容量14864万千瓦，增长13.2%；并网太阳能发电装机容量7742万千瓦，增长81.6%。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规模以上工业企业实现利润68803亿元，比上年增长8.5%。分经济类型看，国有控股企业实现利润11751亿元，比上年增长6.7%；集体企业477亿元，下降4.2%，股份制企业47197亿元，增长8.3%，外商及港澳台商投资企业17352亿元，增长12.1%；私营企业24325亿元，增长4.8%。分门类看，采矿业实现利润1825亿元，比上年下降27.5%；制造业62398亿元，增长12.3%；电力、热力、燃气及水生产和供应业4580亿元，下降14.3%。全年规模以上工业企业每百元主营业务收入中的成本为85.52元，比上年下降0.1元。年末规模以上工业企业资产负债率为55.8%，比上年末下降0.4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全年全社会建筑业增加值49522亿元，比上年增长6.6%。全国具有资质等级的总承包和专业承包建筑业企业实现利润6745亿元，增长4.6%。其中，国有控股企业1879亿元，增长6.8%。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"http://www.stats.gov.cn/tjsj/zxfb/201702/./W020170228373030697423_r75.gif"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47975"/>
            <wp:effectExtent l="0" t="0" r="0" b="9525"/>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14"/>
                    <a:stretch>
                      <a:fillRect/>
                    </a:stretch>
                  </pic:blipFill>
                  <pic:spPr>
                    <a:xfrm>
                      <a:off x="0" y="0"/>
                      <a:ext cx="501015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四、固定资产投资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全年全社会固定资产投资606466亿元，比上年增长7.9%，扣除价格因素，实际增长8.6%。其中，固定资产投资（不含农户）596501亿元，增长8.1%。分区域看</w:t>
      </w:r>
      <w:r>
        <w:rPr>
          <w:rFonts w:hint="eastAsia" w:ascii="宋体" w:hAnsi="宋体" w:eastAsia="宋体" w:cs="宋体"/>
          <w:color w:val="0000FF"/>
          <w:kern w:val="0"/>
          <w:sz w:val="24"/>
          <w:szCs w:val="24"/>
          <w:bdr w:val="none" w:color="auto" w:sz="0" w:space="0"/>
          <w:vertAlign w:val="superscript"/>
          <w:lang w:val="en-US" w:eastAsia="zh-CN" w:bidi="ar"/>
        </w:rPr>
        <w:t>[19]</w:t>
      </w:r>
      <w:r>
        <w:rPr>
          <w:rFonts w:hint="eastAsia" w:ascii="宋体" w:hAnsi="宋体" w:eastAsia="宋体" w:cs="宋体"/>
          <w:color w:val="333333"/>
          <w:kern w:val="0"/>
          <w:sz w:val="24"/>
          <w:szCs w:val="24"/>
          <w:bdr w:val="none" w:color="auto" w:sz="0" w:space="0"/>
          <w:lang w:val="en-US" w:eastAsia="zh-CN" w:bidi="ar"/>
        </w:rPr>
        <w:t>，东部地区投资249665亿元，比上年增长9.1%；中部地区投资156762亿元，增长12.0%；西部地区投资154054亿元，增长12.2%；东北地区投资30642亿元，下降23.5%。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"http://www.stats.gov.cn/tjsj/zxfb/201702/./W020170228373030722851_r75.gif"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57500"/>
            <wp:effectExtent l="0" t="0" r="0" b="0"/>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15"/>
                    <a:stretch>
                      <a:fillRect/>
                    </a:stretch>
                  </pic:blipFill>
                  <pic:spPr>
                    <a:xfrm>
                      <a:off x="0" y="0"/>
                      <a:ext cx="502920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在固定资产投资（不含农户）中，第一产业投资18838亿元，比上年增长21.1%；第二产业投资231826亿元，增长3.5%；第三产业投资345837亿元，增长10.9%。基础设施投资</w:t>
      </w:r>
      <w:r>
        <w:rPr>
          <w:rFonts w:hint="eastAsia" w:ascii="宋体" w:hAnsi="宋体" w:eastAsia="宋体" w:cs="宋体"/>
          <w:color w:val="0000FF"/>
          <w:kern w:val="0"/>
          <w:sz w:val="24"/>
          <w:szCs w:val="24"/>
          <w:bdr w:val="none" w:color="auto" w:sz="0" w:space="0"/>
          <w:vertAlign w:val="superscript"/>
          <w:lang w:val="en-US" w:eastAsia="zh-CN" w:bidi="ar"/>
        </w:rPr>
        <w:t>[20]</w:t>
      </w:r>
      <w:r>
        <w:rPr>
          <w:rFonts w:hint="eastAsia" w:ascii="宋体" w:hAnsi="宋体" w:eastAsia="宋体" w:cs="宋体"/>
          <w:color w:val="333333"/>
          <w:kern w:val="0"/>
          <w:sz w:val="24"/>
          <w:szCs w:val="24"/>
          <w:bdr w:val="none" w:color="auto" w:sz="0" w:space="0"/>
          <w:lang w:val="en-US" w:eastAsia="zh-CN" w:bidi="ar"/>
        </w:rPr>
        <w:t>118878亿元，增长17.4%，占固定资产投资（不含农户）的比重为19.9%。民间固定资产投资</w:t>
      </w:r>
      <w:r>
        <w:rPr>
          <w:rFonts w:hint="eastAsia" w:ascii="宋体" w:hAnsi="宋体" w:eastAsia="宋体" w:cs="宋体"/>
          <w:color w:val="0000FF"/>
          <w:kern w:val="0"/>
          <w:sz w:val="24"/>
          <w:szCs w:val="24"/>
          <w:bdr w:val="none" w:color="auto" w:sz="0" w:space="0"/>
          <w:vertAlign w:val="superscript"/>
          <w:lang w:val="en-US" w:eastAsia="zh-CN" w:bidi="ar"/>
        </w:rPr>
        <w:t>[21]</w:t>
      </w:r>
      <w:r>
        <w:rPr>
          <w:rFonts w:hint="eastAsia" w:ascii="宋体" w:hAnsi="宋体" w:eastAsia="宋体" w:cs="宋体"/>
          <w:color w:val="333333"/>
          <w:kern w:val="0"/>
          <w:sz w:val="24"/>
          <w:szCs w:val="24"/>
          <w:bdr w:val="none" w:color="auto" w:sz="0" w:space="0"/>
          <w:lang w:val="en-US" w:eastAsia="zh-CN" w:bidi="ar"/>
        </w:rPr>
        <w:t>365219亿元，增长3.2%，占固定资产投资（不含农户）的比重为61.2%。高技术产业投资</w:t>
      </w:r>
      <w:r>
        <w:rPr>
          <w:rFonts w:hint="eastAsia" w:ascii="宋体" w:hAnsi="宋体" w:eastAsia="宋体" w:cs="宋体"/>
          <w:color w:val="0000FF"/>
          <w:kern w:val="0"/>
          <w:sz w:val="24"/>
          <w:szCs w:val="24"/>
          <w:bdr w:val="none" w:color="auto" w:sz="0" w:space="0"/>
          <w:vertAlign w:val="superscript"/>
          <w:lang w:val="en-US" w:eastAsia="zh-CN" w:bidi="ar"/>
        </w:rPr>
        <w:t>[22]</w:t>
      </w:r>
      <w:r>
        <w:rPr>
          <w:rFonts w:hint="eastAsia" w:ascii="宋体" w:hAnsi="宋体" w:eastAsia="宋体" w:cs="宋体"/>
          <w:color w:val="333333"/>
          <w:kern w:val="0"/>
          <w:sz w:val="24"/>
          <w:szCs w:val="24"/>
          <w:bdr w:val="none" w:color="auto" w:sz="0" w:space="0"/>
          <w:lang w:val="en-US" w:eastAsia="zh-CN" w:bidi="ar"/>
        </w:rPr>
        <w:t>37747亿元，增长15.8%，占固定资产投资（不含农户）的比重为6.3%。六大高耗能行业投资66376亿元，增长3.1%，占固定资产投资（不含农户）的比重为11.1%。农林牧渔业、水利、环境保护等短板领域投资快速增长。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"http://www.stats.gov.cn/tjsj/zxfb/201702/./W020170228373030763668_r75.gif"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124450" cy="2857500"/>
            <wp:effectExtent l="0" t="0" r="0" b="0"/>
            <wp:docPr id="2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IMG_268"/>
                    <pic:cNvPicPr>
                      <a:picLocks noChangeAspect="1"/>
                    </pic:cNvPicPr>
                  </pic:nvPicPr>
                  <pic:blipFill>
                    <a:blip r:embed="rId16"/>
                    <a:stretch>
                      <a:fillRect/>
                    </a:stretch>
                  </pic:blipFill>
                  <pic:spPr>
                    <a:xfrm>
                      <a:off x="0" y="0"/>
                      <a:ext cx="512445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21" w:type="dxa"/>
        <w:jc w:val="center"/>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862"/>
        <w:gridCol w:w="1578"/>
        <w:gridCol w:w="18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21" w:type="dxa"/>
            <w:gridSpan w:val="3"/>
            <w:tcBorders>
              <w:top w:val="nil"/>
              <w:left w:val="nil"/>
              <w:bottom w:val="single" w:color="000000" w:sz="12" w:space="0"/>
              <w:right w:val="nil"/>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表4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2016年分行业固定资产投资（不含农户）及其增长速度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486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行　　　　　　业</w:t>
            </w:r>
          </w:p>
        </w:tc>
        <w:tc>
          <w:tcPr>
            <w:tcW w:w="157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投资额（亿元）</w:t>
            </w:r>
          </w:p>
        </w:tc>
        <w:tc>
          <w:tcPr>
            <w:tcW w:w="1881"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总　　　计</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596501</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农、林、牧、渔业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22774</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sz w:val="18"/>
                <w:szCs w:val="18"/>
                <w:bdr w:val="none" w:color="auto" w:sz="0" w:space="0"/>
              </w:rPr>
              <w:t>采矿业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10320</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制造业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187836</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电力、热力、燃气及水生产和供应业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29736</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建筑业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4577</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批发和零售业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17939</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交通运输、仓储和邮政业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53628</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住宿和餐饮业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5947</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信息传输、软件和信息技术服务业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6319</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金融业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1310</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房地产业</w:t>
            </w:r>
            <w:r>
              <w:rPr>
                <w:rFonts w:hint="eastAsia" w:ascii="宋体" w:hAnsi="宋体" w:eastAsia="宋体" w:cs="宋体"/>
                <w:snapToGrid w:val="0"/>
                <w:color w:val="0000FF"/>
                <w:kern w:val="0"/>
                <w:sz w:val="24"/>
                <w:szCs w:val="24"/>
                <w:bdr w:val="none" w:color="auto" w:sz="0" w:space="0"/>
                <w:vertAlign w:val="superscript"/>
                <w:lang w:val="en-US" w:eastAsia="zh-CN" w:bidi="ar"/>
              </w:rPr>
              <w:t>[23]</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135284</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租赁和商务服务业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12316</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科学研究和技术服务业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5568</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水利、环境和公共设施管理业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68647</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居民服务、修理和其他服务业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2677</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教育</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9324</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卫生和社会工作</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6282</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文化、体育和娱乐业</w:t>
            </w:r>
          </w:p>
        </w:tc>
        <w:tc>
          <w:tcPr>
            <w:tcW w:w="15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7830</w:t>
            </w:r>
          </w:p>
        </w:tc>
        <w:tc>
          <w:tcPr>
            <w:tcW w:w="1881"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62" w:type="dxa"/>
            <w:tcBorders>
              <w:top w:val="nil"/>
              <w:left w:val="nil"/>
              <w:bottom w:val="single" w:color="000000" w:sz="12"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公共管理、社会保障和社会组织</w:t>
            </w:r>
          </w:p>
        </w:tc>
        <w:tc>
          <w:tcPr>
            <w:tcW w:w="157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8188</w:t>
            </w:r>
          </w:p>
        </w:tc>
        <w:tc>
          <w:tcPr>
            <w:tcW w:w="1881"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4.3</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806"/>
        <w:gridCol w:w="1668"/>
        <w:gridCol w:w="183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表5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2016年固定资产投资新增主要生产与运营能力</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4806"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166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单　位</w:t>
            </w:r>
          </w:p>
        </w:tc>
        <w:tc>
          <w:tcPr>
            <w:tcW w:w="1832"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绝对数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新增220千伏及以上变电设备</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万千伏安</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24336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新建铁路投产里程</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公里</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其中：高速铁路</w:t>
            </w:r>
            <w:r>
              <w:rPr>
                <w:rFonts w:hint="eastAsia" w:ascii="宋体" w:hAnsi="宋体" w:eastAsia="宋体" w:cs="宋体"/>
                <w:snapToGrid w:val="0"/>
                <w:color w:val="0000FF"/>
                <w:kern w:val="0"/>
                <w:sz w:val="24"/>
                <w:szCs w:val="24"/>
                <w:bdr w:val="none" w:color="auto" w:sz="0" w:space="0"/>
                <w:lang w:val="en-US" w:eastAsia="zh-CN" w:bidi="ar"/>
              </w:rPr>
              <w:t>[</w:t>
            </w:r>
            <w:r>
              <w:rPr>
                <w:rFonts w:hint="eastAsia" w:ascii="宋体" w:hAnsi="宋体" w:eastAsia="宋体" w:cs="宋体"/>
                <w:color w:val="0000FF"/>
                <w:kern w:val="0"/>
                <w:sz w:val="24"/>
                <w:szCs w:val="24"/>
                <w:bdr w:val="none" w:color="auto" w:sz="0" w:space="0"/>
                <w:vertAlign w:val="superscript"/>
                <w:lang w:val="en-US" w:eastAsia="zh-CN" w:bidi="ar"/>
              </w:rPr>
              <w:t>24</w:t>
            </w:r>
            <w:r>
              <w:rPr>
                <w:rFonts w:hint="eastAsia" w:ascii="宋体" w:hAnsi="宋体" w:eastAsia="宋体" w:cs="宋体"/>
                <w:snapToGrid w:val="0"/>
                <w:color w:val="0000FF"/>
                <w:kern w:val="0"/>
                <w:sz w:val="24"/>
                <w:szCs w:val="24"/>
                <w:bdr w:val="none" w:color="auto" w:sz="0" w:space="0"/>
                <w:lang w:val="en-US" w:eastAsia="zh-CN" w:bidi="ar"/>
              </w:rPr>
              <w:t>]</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公里</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增、新建铁路复线投产里程</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公里</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3612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电气化铁路投产里程</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公里</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5899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新改建公路里程</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公里</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324898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其中：高速公路</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公里</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6745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港口万吨级码头泊位新增吞吐能力</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32436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480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新增民用运输机场</w:t>
            </w:r>
          </w:p>
        </w:tc>
        <w:tc>
          <w:tcPr>
            <w:tcW w:w="166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个</w:t>
            </w:r>
          </w:p>
        </w:tc>
        <w:tc>
          <w:tcPr>
            <w:tcW w:w="183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4806"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新增光缆线路长度</w:t>
            </w:r>
          </w:p>
        </w:tc>
        <w:tc>
          <w:tcPr>
            <w:tcW w:w="166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万公里</w:t>
            </w:r>
          </w:p>
        </w:tc>
        <w:tc>
          <w:tcPr>
            <w:tcW w:w="1832"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63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554</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房地产开发投资102581亿元，比上年增长6.9%。其中，住宅投资68704亿元，增长6.4%；办公楼投资6533亿元，增长5.2%；商业营业用房投资15838亿元，增长8.4%。年末商品房待售面积69539万平方米，比上年末减少2314万平方米。年末商品住宅待售面积40257万平方米，比上年末减少4991万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全年全国城镇棚户区住房改造开工606万套，棚户区改造和公租房基本建成658万套。全年全国农村地区建档立卡贫困户危房改造158万户</w:t>
      </w:r>
      <w:r>
        <w:rPr>
          <w:rFonts w:hint="eastAsia" w:ascii="宋体" w:hAnsi="宋体" w:eastAsia="宋体" w:cs="宋体"/>
          <w:color w:val="0000FF"/>
          <w:kern w:val="0"/>
          <w:sz w:val="24"/>
          <w:szCs w:val="24"/>
          <w:bdr w:val="none" w:color="auto" w:sz="0" w:space="0"/>
          <w:vertAlign w:val="superscript"/>
          <w:lang w:val="en-US" w:eastAsia="zh-CN" w:bidi="ar"/>
        </w:rPr>
        <w:t>[25]</w:t>
      </w:r>
      <w:r>
        <w:rPr>
          <w:rFonts w:hint="eastAsia" w:ascii="宋体" w:hAnsi="宋体" w:eastAsia="宋体" w:cs="宋体"/>
          <w:color w:val="333333"/>
          <w:kern w:val="0"/>
          <w:sz w:val="24"/>
          <w:szCs w:val="24"/>
          <w:bdr w:val="none" w:color="auto" w:sz="0" w:space="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588"/>
        <w:gridCol w:w="1352"/>
        <w:gridCol w:w="1604"/>
        <w:gridCol w:w="17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表6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2016年房地产开发和销售主要指标及其增长速度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358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1352"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单 位</w:t>
            </w:r>
          </w:p>
        </w:tc>
        <w:tc>
          <w:tcPr>
            <w:tcW w:w="1604"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绝对数</w:t>
            </w:r>
          </w:p>
        </w:tc>
        <w:tc>
          <w:tcPr>
            <w:tcW w:w="1762"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投资额</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102581</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其中：住宅</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68704</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其中：90平方米及以下</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24772</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房屋施工面积</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758975</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其中：住宅</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521310</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房屋新开工面积</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166928</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其中：住宅</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115911</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房屋竣工面积</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106128</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其中：住宅</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77185</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商品房销售面积</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157349</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其中：住宅</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万平方米</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137540</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本年到位资金</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144214</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58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其中：国内贷款</w:t>
            </w:r>
          </w:p>
        </w:tc>
        <w:tc>
          <w:tcPr>
            <w:tcW w:w="135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6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21512</w:t>
            </w:r>
          </w:p>
        </w:tc>
        <w:tc>
          <w:tcPr>
            <w:tcW w:w="176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8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个人按揭贷款</w:t>
            </w:r>
          </w:p>
        </w:tc>
        <w:tc>
          <w:tcPr>
            <w:tcW w:w="1352"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60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24403</w:t>
            </w:r>
          </w:p>
        </w:tc>
        <w:tc>
          <w:tcPr>
            <w:tcW w:w="1762"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42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46.5</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五、国内贸易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社会消费品零售总额332316亿元，比上年增长10.4%，扣除价格因素，实际增长9.6%。按经营地统计，城镇消费品零售额285814亿元，增长10.4%；乡村消费品零售额46503亿元，增长10.9%。按消费类型统计，商品零售额296518亿元，增长10.4%；餐饮收入额35799亿元，增长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"http://www.stats.gov.cn/tjsj/zxfb/201702/./W020170228373030815462_r75.gif"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57500"/>
            <wp:effectExtent l="0" t="0" r="0" b="0"/>
            <wp:docPr id="2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descr="IMG_269"/>
                    <pic:cNvPicPr>
                      <a:picLocks noChangeAspect="1"/>
                    </pic:cNvPicPr>
                  </pic:nvPicPr>
                  <pic:blipFill>
                    <a:blip r:embed="rId17"/>
                    <a:stretch>
                      <a:fillRect/>
                    </a:stretch>
                  </pic:blipFill>
                  <pic:spPr>
                    <a:xfrm>
                      <a:off x="0" y="0"/>
                      <a:ext cx="502920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在限额以上企业商品零售额中，粮油、食品、饮料、烟酒类零售额比上年增长10.5%，服装、鞋帽、针纺织品类增长7.0%，化妆品类增长8.3%，金银珠宝类与上年持平，日用品类增长11.4%，家用电器和音像器材类增长8.7%，中西药品类增长12.0%，文化办公用品类增长11.2%，家具类增长12.7%，通讯器材类增长11.9%，建筑及装潢材料类增长14.0%，汽车类增长10.1%，石油及制品类增长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全年网上零售额</w:t>
      </w:r>
      <w:r>
        <w:rPr>
          <w:rFonts w:hint="eastAsia" w:ascii="宋体" w:hAnsi="宋体" w:eastAsia="宋体" w:cs="宋体"/>
          <w:color w:val="0000FF"/>
          <w:kern w:val="0"/>
          <w:sz w:val="24"/>
          <w:szCs w:val="24"/>
          <w:bdr w:val="none" w:color="auto" w:sz="0" w:space="0"/>
          <w:vertAlign w:val="superscript"/>
          <w:lang w:val="en-US" w:eastAsia="zh-CN" w:bidi="ar"/>
        </w:rPr>
        <w:t>[26]</w:t>
      </w:r>
      <w:r>
        <w:rPr>
          <w:rFonts w:hint="eastAsia" w:ascii="宋体" w:hAnsi="宋体" w:eastAsia="宋体" w:cs="宋体"/>
          <w:color w:val="333333"/>
          <w:kern w:val="0"/>
          <w:sz w:val="24"/>
          <w:szCs w:val="24"/>
          <w:bdr w:val="none" w:color="auto" w:sz="0" w:space="0"/>
          <w:lang w:val="en-US" w:eastAsia="zh-CN" w:bidi="ar"/>
        </w:rPr>
        <w:t>51556亿元，比上年增长26.2%。其中网上商品零售额41944亿元，增长25.6%，占社会消费品零售总额的比重为12.6%。在网上商品零售额中，吃类商品增长28.5%，穿类商品增长18.1%，用类商品增长28.8%。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六、对外经济</w:t>
      </w:r>
      <w:r>
        <w:rPr>
          <w:rFonts w:hint="eastAsia" w:ascii="宋体" w:hAnsi="宋体" w:eastAsia="宋体" w:cs="宋体"/>
          <w:b/>
          <w:color w:val="0000FF"/>
          <w:kern w:val="0"/>
          <w:sz w:val="24"/>
          <w:szCs w:val="24"/>
          <w:bdr w:val="none" w:color="auto" w:sz="0" w:space="0"/>
          <w:vertAlign w:val="superscript"/>
          <w:lang w:val="en-US" w:eastAsia="zh-CN" w:bidi="ar"/>
        </w:rPr>
        <w:t>[27]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全年货物进出口总额243386亿元，比上年下降0.9%。其中，出口138455亿元，下降1.9%；进口104932亿元，增长0.6%。货物进出口差额（出口减进口）33523亿元，比上年减少3308亿元。对“一带一路”</w:t>
      </w:r>
      <w:r>
        <w:rPr>
          <w:rFonts w:hint="eastAsia" w:ascii="宋体" w:hAnsi="宋体" w:eastAsia="宋体" w:cs="宋体"/>
          <w:color w:val="0000FF"/>
          <w:kern w:val="0"/>
          <w:sz w:val="24"/>
          <w:szCs w:val="24"/>
          <w:bdr w:val="none" w:color="auto" w:sz="0" w:space="0"/>
          <w:vertAlign w:val="superscript"/>
          <w:lang w:val="en-US" w:eastAsia="zh-CN" w:bidi="ar"/>
        </w:rPr>
        <w:t>[28]</w:t>
      </w:r>
      <w:r>
        <w:rPr>
          <w:rFonts w:hint="eastAsia" w:ascii="宋体" w:hAnsi="宋体" w:eastAsia="宋体" w:cs="宋体"/>
          <w:color w:val="333333"/>
          <w:kern w:val="0"/>
          <w:sz w:val="24"/>
          <w:szCs w:val="24"/>
          <w:bdr w:val="none" w:color="auto" w:sz="0" w:space="0"/>
          <w:lang w:val="en-US" w:eastAsia="zh-CN" w:bidi="ar"/>
        </w:rPr>
        <w:t>沿线国家进出口总额62517亿元，比上年增长0.5%。其中，出口38319亿元，增长0.5%；进口24198亿元，增长0.4%。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"http://www.stats.gov.cn/tjsj/zxfb/201702/./W020170228373030854965_r75.gif"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57500"/>
            <wp:effectExtent l="0" t="0" r="0" b="0"/>
            <wp:docPr id="2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descr="IMG_270"/>
                    <pic:cNvPicPr>
                      <a:picLocks noChangeAspect="1"/>
                    </pic:cNvPicPr>
                  </pic:nvPicPr>
                  <pic:blipFill>
                    <a:blip r:embed="rId18"/>
                    <a:stretch>
                      <a:fillRect/>
                    </a:stretch>
                  </pic:blipFill>
                  <pic:spPr>
                    <a:xfrm>
                      <a:off x="0" y="0"/>
                      <a:ext cx="501015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8" w:firstLine="0"/>
        <w:jc w:val="left"/>
        <w:textAlignment w:val="auto"/>
      </w:pPr>
      <w:r>
        <w:rPr>
          <w:rFonts w:hint="eastAsia" w:ascii="宋体" w:hAnsi="宋体" w:eastAsia="宋体" w:cs="宋体"/>
          <w:b/>
          <w:snapToGrid w:val="0"/>
          <w:color w:val="333333"/>
          <w:sz w:val="24"/>
          <w:szCs w:val="24"/>
          <w:bdr w:val="none" w:color="auto" w:sz="0" w:space="0"/>
          <w:lang w:val="en-US"/>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813"/>
        <w:gridCol w:w="1904"/>
        <w:gridCol w:w="2347"/>
        <w:gridCol w:w="2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064" w:type="dxa"/>
            <w:gridSpan w:val="3"/>
            <w:tcBorders>
              <w:top w:val="nil"/>
              <w:left w:val="nil"/>
              <w:bottom w:val="single" w:color="000000" w:sz="12" w:space="0"/>
              <w:right w:val="nil"/>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41"/>
              <w:jc w:val="center"/>
              <w:textAlignment w:val="auto"/>
            </w:pPr>
            <w:r>
              <w:rPr>
                <w:rFonts w:hint="eastAsia" w:ascii="宋体" w:hAnsi="宋体" w:eastAsia="宋体" w:cs="宋体"/>
                <w:b/>
                <w:snapToGrid w:val="0"/>
                <w:color w:val="333333"/>
                <w:sz w:val="24"/>
                <w:szCs w:val="24"/>
                <w:bdr w:val="none" w:color="auto" w:sz="0" w:space="0"/>
              </w:rPr>
              <w:t>　　表</w:t>
            </w:r>
            <w:r>
              <w:rPr>
                <w:rFonts w:hint="eastAsia" w:ascii="宋体" w:hAnsi="宋体" w:eastAsia="宋体" w:cs="宋体"/>
                <w:b/>
                <w:snapToGrid w:val="0"/>
                <w:color w:val="333333"/>
                <w:sz w:val="24"/>
                <w:szCs w:val="24"/>
                <w:bdr w:val="none" w:color="auto" w:sz="0" w:space="0"/>
                <w:lang w:val="en-US"/>
              </w:rPr>
              <w:t>7</w:t>
            </w:r>
            <w:r>
              <w:rPr>
                <w:rFonts w:hint="eastAsia" w:ascii="宋体" w:hAnsi="宋体" w:eastAsia="宋体" w:cs="宋体"/>
                <w:b/>
                <w:color w:val="333333"/>
                <w:sz w:val="24"/>
                <w:szCs w:val="24"/>
                <w:bdr w:val="none" w:color="auto" w:sz="0" w:space="0"/>
                <w:lang w:val="en-US"/>
              </w:rPr>
              <w:t xml:space="preserve">  </w:t>
            </w:r>
            <w:r>
              <w:rPr>
                <w:rFonts w:hint="eastAsia" w:ascii="宋体" w:hAnsi="宋体" w:eastAsia="宋体" w:cs="宋体"/>
                <w:b/>
                <w:snapToGrid w:val="0"/>
                <w:color w:val="333333"/>
                <w:sz w:val="24"/>
                <w:szCs w:val="24"/>
                <w:bdr w:val="none" w:color="auto" w:sz="0" w:space="0"/>
                <w:lang w:val="en-US"/>
              </w:rPr>
              <w:t>2016</w:t>
            </w:r>
            <w:r>
              <w:rPr>
                <w:rFonts w:hint="eastAsia" w:ascii="宋体" w:hAnsi="宋体" w:eastAsia="宋体" w:cs="宋体"/>
                <w:b/>
                <w:snapToGrid w:val="0"/>
                <w:color w:val="333333"/>
                <w:sz w:val="24"/>
                <w:szCs w:val="24"/>
                <w:bdr w:val="none" w:color="auto" w:sz="0" w:space="0"/>
              </w:rPr>
              <w:t>年货物进出口总额及其增长速度</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3813"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10"/>
              <w:jc w:val="center"/>
              <w:textAlignment w:val="auto"/>
            </w:pPr>
            <w:r>
              <w:rPr>
                <w:rFonts w:hint="eastAsia" w:ascii="宋体" w:hAnsi="宋体" w:eastAsia="宋体" w:cs="宋体"/>
                <w:snapToGrid w:val="0"/>
                <w:color w:val="333333"/>
                <w:sz w:val="18"/>
                <w:szCs w:val="18"/>
                <w:bdr w:val="none" w:color="auto" w:sz="0" w:space="0"/>
              </w:rPr>
              <w:t>指　　　标</w:t>
            </w:r>
          </w:p>
        </w:tc>
        <w:tc>
          <w:tcPr>
            <w:tcW w:w="1904"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559"/>
              </w:tabs>
              <w:kinsoku/>
              <w:wordWrap/>
              <w:overflowPunct/>
              <w:topLinePunct w:val="0"/>
              <w:autoSpaceDE/>
              <w:autoSpaceDN/>
              <w:bidi w:val="0"/>
              <w:adjustRightInd/>
              <w:spacing w:beforeAutospacing="0" w:afterAutospacing="0" w:line="240" w:lineRule="auto"/>
              <w:ind w:left="57" w:right="57" w:firstLine="210"/>
              <w:jc w:val="center"/>
              <w:textAlignment w:val="auto"/>
            </w:pPr>
            <w:r>
              <w:rPr>
                <w:rFonts w:hint="eastAsia" w:ascii="宋体" w:hAnsi="宋体" w:eastAsia="宋体" w:cs="宋体"/>
                <w:snapToGrid w:val="0"/>
                <w:color w:val="333333"/>
                <w:sz w:val="18"/>
                <w:szCs w:val="18"/>
                <w:bdr w:val="none" w:color="auto" w:sz="0" w:space="0"/>
              </w:rPr>
              <w:t>金额（亿元）</w:t>
            </w:r>
          </w:p>
        </w:tc>
        <w:tc>
          <w:tcPr>
            <w:tcW w:w="2347" w:type="dxa"/>
            <w:tcBorders>
              <w:top w:val="nil"/>
              <w:left w:val="nil"/>
              <w:bottom w:val="single" w:color="000000" w:sz="8" w:space="0"/>
              <w:right w:val="nil"/>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10"/>
              <w:jc w:val="center"/>
              <w:textAlignment w:val="auto"/>
            </w:pPr>
            <w:r>
              <w:rPr>
                <w:rFonts w:hint="eastAsia" w:ascii="宋体" w:hAnsi="宋体" w:eastAsia="宋体" w:cs="宋体"/>
                <w:snapToGrid w:val="0"/>
                <w:color w:val="333333"/>
                <w:sz w:val="18"/>
                <w:szCs w:val="18"/>
                <w:bdr w:val="none" w:color="auto" w:sz="0" w:space="0"/>
              </w:rPr>
              <w:t>比上年增长（</w:t>
            </w:r>
            <w:r>
              <w:rPr>
                <w:rFonts w:hint="eastAsia" w:ascii="宋体" w:hAnsi="宋体" w:eastAsia="宋体" w:cs="宋体"/>
                <w:snapToGrid w:val="0"/>
                <w:color w:val="333333"/>
                <w:sz w:val="18"/>
                <w:szCs w:val="18"/>
                <w:bdr w:val="none" w:color="auto" w:sz="0" w:space="0"/>
                <w:lang w:val="en-US"/>
              </w:rPr>
              <w:t>%</w:t>
            </w:r>
            <w:r>
              <w:rPr>
                <w:rFonts w:hint="eastAsia" w:ascii="宋体" w:hAnsi="宋体" w:eastAsia="宋体" w:cs="宋体"/>
                <w:snapToGrid w:val="0"/>
                <w:color w:val="333333"/>
                <w:sz w:val="18"/>
                <w:szCs w:val="18"/>
                <w:bdr w:val="none" w:color="auto" w:sz="0" w:space="0"/>
              </w:rPr>
              <w:t>）</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货物进出口总额</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243386</w:t>
            </w:r>
          </w:p>
        </w:tc>
        <w:tc>
          <w:tcPr>
            <w:tcW w:w="2589"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12"/>
              <w:jc w:val="left"/>
              <w:textAlignment w:val="auto"/>
            </w:pPr>
            <w:r>
              <w:rPr>
                <w:rFonts w:hint="eastAsia" w:ascii="宋体" w:hAnsi="宋体" w:eastAsia="宋体" w:cs="宋体"/>
                <w:snapToGrid w:val="0"/>
                <w:color w:val="333333"/>
                <w:sz w:val="18"/>
                <w:szCs w:val="18"/>
                <w:bdr w:val="none" w:color="auto" w:sz="0" w:space="0"/>
              </w:rPr>
              <w:t>货物出口额</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138455</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其中：一般贸易</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74601</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加工贸易</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47237</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-4.6</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其中：机电产品</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79820</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高新技术产品</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39876</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414"/>
              <w:jc w:val="left"/>
              <w:textAlignment w:val="auto"/>
            </w:pPr>
            <w:r>
              <w:rPr>
                <w:rFonts w:hint="eastAsia" w:ascii="宋体" w:hAnsi="宋体" w:eastAsia="宋体" w:cs="宋体"/>
                <w:snapToGrid w:val="0"/>
                <w:color w:val="333333"/>
                <w:sz w:val="18"/>
                <w:szCs w:val="18"/>
                <w:bdr w:val="none" w:color="auto" w:sz="0" w:space="0"/>
              </w:rPr>
              <w:t>货物进口额</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104932</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0.6</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01"/>
              </w:tabs>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其中：一般贸易</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59398</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加工贸易</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26223</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-5.5</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其中：机电产品</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50985</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nil"/>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firstLine="0"/>
              <w:jc w:val="left"/>
              <w:textAlignment w:val="auto"/>
            </w:pPr>
            <w:r>
              <w:rPr>
                <w:rFonts w:hint="eastAsia" w:ascii="宋体" w:hAnsi="宋体" w:eastAsia="宋体" w:cs="宋体"/>
                <w:snapToGrid w:val="0"/>
                <w:color w:val="333333"/>
                <w:sz w:val="18"/>
                <w:szCs w:val="18"/>
                <w:bdr w:val="none" w:color="auto" w:sz="0" w:space="0"/>
              </w:rPr>
              <w:t>　　　　　　　高新技术产品</w:t>
            </w:r>
          </w:p>
        </w:tc>
        <w:tc>
          <w:tcPr>
            <w:tcW w:w="190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34618</w:t>
            </w:r>
          </w:p>
        </w:tc>
        <w:tc>
          <w:tcPr>
            <w:tcW w:w="234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813" w:type="dxa"/>
            <w:tcBorders>
              <w:top w:val="nil"/>
              <w:left w:val="nil"/>
              <w:bottom w:val="single" w:color="000000" w:sz="12"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sz w:val="18"/>
                <w:szCs w:val="18"/>
                <w:bdr w:val="none" w:color="auto" w:sz="0" w:space="0"/>
              </w:rPr>
              <w:t>货物进出口差额（出口减进口）</w:t>
            </w:r>
          </w:p>
        </w:tc>
        <w:tc>
          <w:tcPr>
            <w:tcW w:w="190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33523</w:t>
            </w:r>
          </w:p>
        </w:tc>
        <w:tc>
          <w:tcPr>
            <w:tcW w:w="2347"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8"/>
        <w:jc w:val="both"/>
        <w:textAlignment w:val="auto"/>
      </w:pPr>
      <w:r>
        <w:rPr>
          <w:rFonts w:hint="default" w:ascii="Times New Roman" w:hAnsi="Times New Roman" w:eastAsia="宋体" w:cs="Times New Roman"/>
          <w:snapToGrid w:val="0"/>
          <w:color w:val="333333"/>
          <w:spacing w:val="0"/>
          <w:sz w:val="21"/>
          <w:szCs w:val="21"/>
          <w:bdr w:val="none" w:color="auto" w:sz="0" w:space="0"/>
          <w:lang w:val="en-US"/>
        </w:rPr>
        <w:t> </w:t>
      </w:r>
    </w:p>
    <w:tbl>
      <w:tblPr>
        <w:tblW w:w="8303"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705"/>
        <w:gridCol w:w="846"/>
        <w:gridCol w:w="1024"/>
        <w:gridCol w:w="1271"/>
        <w:gridCol w:w="1202"/>
        <w:gridCol w:w="125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3" w:type="dxa"/>
            <w:gridSpan w:val="6"/>
            <w:tcBorders>
              <w:top w:val="nil"/>
              <w:left w:val="nil"/>
              <w:bottom w:val="single" w:color="000000" w:sz="12" w:space="0"/>
              <w:right w:val="nil"/>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b/>
                <w:snapToGrid w:val="0"/>
                <w:color w:val="333333"/>
                <w:sz w:val="24"/>
                <w:szCs w:val="24"/>
                <w:bdr w:val="none" w:color="auto" w:sz="0" w:space="0"/>
              </w:rPr>
              <w:t>表</w:t>
            </w:r>
            <w:r>
              <w:rPr>
                <w:rFonts w:hint="eastAsia" w:ascii="宋体" w:hAnsi="宋体" w:eastAsia="宋体" w:cs="宋体"/>
                <w:b/>
                <w:snapToGrid w:val="0"/>
                <w:color w:val="333333"/>
                <w:sz w:val="24"/>
                <w:szCs w:val="24"/>
                <w:bdr w:val="none" w:color="auto" w:sz="0" w:space="0"/>
                <w:lang w:val="en-US"/>
              </w:rPr>
              <w:t>8</w:t>
            </w:r>
            <w:r>
              <w:rPr>
                <w:rFonts w:hint="eastAsia" w:ascii="宋体" w:hAnsi="宋体" w:eastAsia="宋体" w:cs="宋体"/>
                <w:b/>
                <w:snapToGrid w:val="0"/>
                <w:color w:val="333333"/>
                <w:sz w:val="24"/>
                <w:szCs w:val="24"/>
                <w:bdr w:val="none" w:color="auto" w:sz="0" w:space="0"/>
              </w:rPr>
              <w:t>　</w:t>
            </w:r>
            <w:r>
              <w:rPr>
                <w:rFonts w:hint="eastAsia" w:ascii="宋体" w:hAnsi="宋体" w:eastAsia="宋体" w:cs="宋体"/>
                <w:b/>
                <w:snapToGrid w:val="0"/>
                <w:color w:val="333333"/>
                <w:sz w:val="24"/>
                <w:szCs w:val="24"/>
                <w:bdr w:val="none" w:color="auto" w:sz="0" w:space="0"/>
                <w:lang w:val="en-US"/>
              </w:rPr>
              <w:t>2016</w:t>
            </w:r>
            <w:r>
              <w:rPr>
                <w:rFonts w:hint="eastAsia" w:ascii="宋体" w:hAnsi="宋体" w:eastAsia="宋体" w:cs="宋体"/>
                <w:b/>
                <w:snapToGrid w:val="0"/>
                <w:color w:val="333333"/>
                <w:sz w:val="24"/>
                <w:szCs w:val="24"/>
                <w:bdr w:val="none" w:color="auto" w:sz="0" w:space="0"/>
              </w:rPr>
              <w:t>年主要商品出口数量、金额及其增长速度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2705"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10"/>
              <w:jc w:val="center"/>
              <w:textAlignment w:val="auto"/>
            </w:pPr>
            <w:r>
              <w:rPr>
                <w:rFonts w:hint="eastAsia" w:ascii="宋体" w:hAnsi="宋体" w:eastAsia="宋体" w:cs="宋体"/>
                <w:snapToGrid w:val="0"/>
                <w:color w:val="333333"/>
                <w:sz w:val="18"/>
                <w:szCs w:val="18"/>
                <w:bdr w:val="none" w:color="auto" w:sz="0" w:space="0"/>
              </w:rPr>
              <w:t>商品名称</w:t>
            </w:r>
          </w:p>
        </w:tc>
        <w:tc>
          <w:tcPr>
            <w:tcW w:w="846"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单位</w:t>
            </w:r>
          </w:p>
        </w:tc>
        <w:tc>
          <w:tcPr>
            <w:tcW w:w="1024"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数量</w:t>
            </w:r>
          </w:p>
        </w:tc>
        <w:tc>
          <w:tcPr>
            <w:tcW w:w="1271"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比上年增长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w:t>
            </w:r>
            <w:r>
              <w:rPr>
                <w:rFonts w:hint="eastAsia" w:ascii="宋体" w:hAnsi="宋体" w:eastAsia="宋体" w:cs="宋体"/>
                <w:snapToGrid w:val="0"/>
                <w:color w:val="333333"/>
                <w:sz w:val="18"/>
                <w:szCs w:val="18"/>
                <w:bdr w:val="none" w:color="auto" w:sz="0" w:space="0"/>
                <w:lang w:val="en-US"/>
              </w:rPr>
              <w:t>%</w:t>
            </w:r>
            <w:r>
              <w:rPr>
                <w:rFonts w:hint="eastAsia" w:ascii="宋体" w:hAnsi="宋体" w:eastAsia="宋体" w:cs="宋体"/>
                <w:snapToGrid w:val="0"/>
                <w:color w:val="333333"/>
                <w:sz w:val="18"/>
                <w:szCs w:val="18"/>
                <w:bdr w:val="none" w:color="auto" w:sz="0" w:space="0"/>
              </w:rPr>
              <w:t>）</w:t>
            </w:r>
          </w:p>
        </w:tc>
        <w:tc>
          <w:tcPr>
            <w:tcW w:w="1202"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（亿元）</w:t>
            </w:r>
          </w:p>
        </w:tc>
        <w:tc>
          <w:tcPr>
            <w:tcW w:w="1255" w:type="dxa"/>
            <w:tcBorders>
              <w:top w:val="nil"/>
              <w:left w:val="nil"/>
              <w:bottom w:val="single" w:color="000000" w:sz="8" w:space="0"/>
              <w:right w:val="nil"/>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比上年增长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w:t>
            </w:r>
            <w:r>
              <w:rPr>
                <w:rFonts w:hint="eastAsia" w:ascii="宋体" w:hAnsi="宋体" w:eastAsia="宋体" w:cs="宋体"/>
                <w:snapToGrid w:val="0"/>
                <w:color w:val="333333"/>
                <w:sz w:val="18"/>
                <w:szCs w:val="18"/>
                <w:bdr w:val="none" w:color="auto" w:sz="0" w:space="0"/>
                <w:lang w:val="en-US"/>
              </w:rPr>
              <w:t>%</w:t>
            </w:r>
            <w:r>
              <w:rPr>
                <w:rFonts w:hint="eastAsia" w:ascii="宋体" w:hAnsi="宋体" w:eastAsia="宋体" w:cs="宋体"/>
                <w:snapToGrid w:val="0"/>
                <w:color w:val="333333"/>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煤（包括褐煤）</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879</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64.6</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46</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钢材</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10849</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-3.5</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3587</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纺织纱线、织物及制品</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6925</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服装及衣着附件</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10413</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鞋类</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422</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-5.6</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3113</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家具及其零件</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3151</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自动数据处理设备及其部件</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159257</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-7.1</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9068</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手持或车载无线电话</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万台</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127192</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-5.3</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7643</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集装箱</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万个</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199</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-26.7</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279</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液晶显示板</w:t>
            </w:r>
          </w:p>
        </w:tc>
        <w:tc>
          <w:tcPr>
            <w:tcW w:w="846"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万个</w:t>
            </w:r>
          </w:p>
        </w:tc>
        <w:tc>
          <w:tcPr>
            <w:tcW w:w="102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190569</w:t>
            </w:r>
          </w:p>
        </w:tc>
        <w:tc>
          <w:tcPr>
            <w:tcW w:w="1271"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-16.9</w:t>
            </w:r>
          </w:p>
        </w:tc>
        <w:tc>
          <w:tcPr>
            <w:tcW w:w="12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1700</w:t>
            </w:r>
          </w:p>
        </w:tc>
        <w:tc>
          <w:tcPr>
            <w:tcW w:w="1255"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705"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汽车</w:t>
            </w:r>
          </w:p>
        </w:tc>
        <w:tc>
          <w:tcPr>
            <w:tcW w:w="846"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万辆</w:t>
            </w:r>
          </w:p>
        </w:tc>
        <w:tc>
          <w:tcPr>
            <w:tcW w:w="102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79</w:t>
            </w:r>
          </w:p>
        </w:tc>
        <w:tc>
          <w:tcPr>
            <w:tcW w:w="1271"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9.4</w:t>
            </w:r>
          </w:p>
        </w:tc>
        <w:tc>
          <w:tcPr>
            <w:tcW w:w="1202"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709</w:t>
            </w:r>
          </w:p>
        </w:tc>
        <w:tc>
          <w:tcPr>
            <w:tcW w:w="1255"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2"/>
        </w:tabs>
        <w:kinsoku/>
        <w:wordWrap/>
        <w:overflowPunct/>
        <w:topLinePunct w:val="0"/>
        <w:autoSpaceDE/>
        <w:autoSpaceDN/>
        <w:bidi w:val="0"/>
        <w:adjustRightInd/>
        <w:spacing w:beforeAutospacing="0" w:afterAutospacing="0" w:line="240" w:lineRule="auto"/>
        <w:ind w:left="0" w:right="58"/>
        <w:jc w:val="left"/>
        <w:textAlignment w:val="auto"/>
      </w:pPr>
      <w:r>
        <w:rPr>
          <w:rFonts w:hint="default" w:ascii="Times New Roman" w:hAnsi="Times New Roman" w:eastAsia="宋体" w:cs="Times New Roman"/>
          <w:snapToGrid w:val="0"/>
          <w:color w:val="333333"/>
          <w:spacing w:val="0"/>
          <w:sz w:val="21"/>
          <w:szCs w:val="21"/>
          <w:bdr w:val="none" w:color="auto" w:sz="0" w:space="0"/>
          <w:lang w:val="en-US"/>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20"/>
        <w:gridCol w:w="514"/>
        <w:gridCol w:w="1058"/>
        <w:gridCol w:w="1854"/>
        <w:gridCol w:w="1007"/>
        <w:gridCol w:w="185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6" w:type="dxa"/>
            <w:gridSpan w:val="6"/>
            <w:tcBorders>
              <w:top w:val="nil"/>
              <w:left w:val="nil"/>
              <w:bottom w:val="single" w:color="000000" w:sz="12" w:space="0"/>
              <w:right w:val="nil"/>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b/>
                <w:color w:val="333333"/>
                <w:sz w:val="24"/>
                <w:szCs w:val="24"/>
                <w:bdr w:val="none" w:color="auto" w:sz="0" w:space="0"/>
                <w:lang w:val="en-US"/>
              </w:rPr>
              <w:t xml:space="preserve">      </w:t>
            </w:r>
            <w:r>
              <w:rPr>
                <w:rFonts w:hint="eastAsia" w:ascii="宋体" w:hAnsi="宋体" w:eastAsia="宋体" w:cs="宋体"/>
                <w:b/>
                <w:snapToGrid w:val="0"/>
                <w:color w:val="333333"/>
                <w:sz w:val="24"/>
                <w:szCs w:val="24"/>
                <w:bdr w:val="none" w:color="auto" w:sz="0" w:space="0"/>
              </w:rPr>
              <w:t>表</w:t>
            </w:r>
            <w:r>
              <w:rPr>
                <w:rFonts w:hint="eastAsia" w:ascii="宋体" w:hAnsi="宋体" w:eastAsia="宋体" w:cs="宋体"/>
                <w:b/>
                <w:snapToGrid w:val="0"/>
                <w:color w:val="333333"/>
                <w:sz w:val="24"/>
                <w:szCs w:val="24"/>
                <w:bdr w:val="none" w:color="auto" w:sz="0" w:space="0"/>
                <w:lang w:val="en-US"/>
              </w:rPr>
              <w:t>9</w:t>
            </w:r>
            <w:r>
              <w:rPr>
                <w:rFonts w:hint="eastAsia" w:ascii="宋体" w:hAnsi="宋体" w:eastAsia="宋体" w:cs="宋体"/>
                <w:b/>
                <w:snapToGrid w:val="0"/>
                <w:color w:val="333333"/>
                <w:sz w:val="24"/>
                <w:szCs w:val="24"/>
                <w:bdr w:val="none" w:color="auto" w:sz="0" w:space="0"/>
              </w:rPr>
              <w:t>　</w:t>
            </w:r>
            <w:r>
              <w:rPr>
                <w:rFonts w:hint="eastAsia" w:ascii="宋体" w:hAnsi="宋体" w:eastAsia="宋体" w:cs="宋体"/>
                <w:b/>
                <w:snapToGrid w:val="0"/>
                <w:color w:val="333333"/>
                <w:sz w:val="24"/>
                <w:szCs w:val="24"/>
                <w:bdr w:val="none" w:color="auto" w:sz="0" w:space="0"/>
                <w:lang w:val="en-US"/>
              </w:rPr>
              <w:t>2016</w:t>
            </w:r>
            <w:r>
              <w:rPr>
                <w:rFonts w:hint="eastAsia" w:ascii="宋体" w:hAnsi="宋体" w:eastAsia="宋体" w:cs="宋体"/>
                <w:b/>
                <w:snapToGrid w:val="0"/>
                <w:color w:val="333333"/>
                <w:sz w:val="24"/>
                <w:szCs w:val="24"/>
                <w:bdr w:val="none" w:color="auto" w:sz="0" w:space="0"/>
              </w:rPr>
              <w:t>年主要商品进口数量、金额及其增长速度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20"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10"/>
              <w:jc w:val="center"/>
              <w:textAlignment w:val="auto"/>
            </w:pPr>
            <w:r>
              <w:rPr>
                <w:rFonts w:hint="eastAsia" w:ascii="宋体" w:hAnsi="宋体" w:eastAsia="宋体" w:cs="宋体"/>
                <w:snapToGrid w:val="0"/>
                <w:color w:val="333333"/>
                <w:sz w:val="18"/>
                <w:szCs w:val="18"/>
                <w:bdr w:val="none" w:color="auto" w:sz="0" w:space="0"/>
              </w:rPr>
              <w:t>商品名称</w:t>
            </w:r>
          </w:p>
        </w:tc>
        <w:tc>
          <w:tcPr>
            <w:tcW w:w="514"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单位</w:t>
            </w:r>
          </w:p>
        </w:tc>
        <w:tc>
          <w:tcPr>
            <w:tcW w:w="1058"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数量</w:t>
            </w:r>
          </w:p>
        </w:tc>
        <w:tc>
          <w:tcPr>
            <w:tcW w:w="1854"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比上年增长（</w:t>
            </w:r>
            <w:r>
              <w:rPr>
                <w:rFonts w:hint="eastAsia" w:ascii="宋体" w:hAnsi="宋体" w:eastAsia="宋体" w:cs="宋体"/>
                <w:snapToGrid w:val="0"/>
                <w:color w:val="333333"/>
                <w:sz w:val="18"/>
                <w:szCs w:val="18"/>
                <w:bdr w:val="none" w:color="auto" w:sz="0" w:space="0"/>
                <w:lang w:val="en-US"/>
              </w:rPr>
              <w:t>%</w:t>
            </w:r>
            <w:r>
              <w:rPr>
                <w:rFonts w:hint="eastAsia" w:ascii="宋体" w:hAnsi="宋体" w:eastAsia="宋体" w:cs="宋体"/>
                <w:snapToGrid w:val="0"/>
                <w:color w:val="333333"/>
                <w:sz w:val="18"/>
                <w:szCs w:val="18"/>
                <w:bdr w:val="none" w:color="auto" w:sz="0" w:space="0"/>
              </w:rPr>
              <w:t>）</w:t>
            </w:r>
          </w:p>
        </w:tc>
        <w:tc>
          <w:tcPr>
            <w:tcW w:w="1007" w:type="dxa"/>
            <w:tcBorders>
              <w:top w:val="nil"/>
              <w:left w:val="nil"/>
              <w:bottom w:val="single" w:color="000000" w:sz="8" w:space="0"/>
              <w:right w:val="single" w:color="000000" w:sz="8" w:space="0"/>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（亿元）</w:t>
            </w:r>
          </w:p>
        </w:tc>
        <w:tc>
          <w:tcPr>
            <w:tcW w:w="1853" w:type="dxa"/>
            <w:tcBorders>
              <w:top w:val="nil"/>
              <w:left w:val="nil"/>
              <w:bottom w:val="single" w:color="000000" w:sz="8" w:space="0"/>
              <w:right w:val="nil"/>
            </w:tcBorders>
            <w:shd w:val="cle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0"/>
              <w:jc w:val="center"/>
              <w:textAlignment w:val="auto"/>
            </w:pPr>
            <w:r>
              <w:rPr>
                <w:rFonts w:hint="eastAsia" w:ascii="宋体" w:hAnsi="宋体" w:eastAsia="宋体" w:cs="宋体"/>
                <w:snapToGrid w:val="0"/>
                <w:color w:val="333333"/>
                <w:sz w:val="18"/>
                <w:szCs w:val="18"/>
                <w:bdr w:val="none" w:color="auto" w:sz="0" w:space="0"/>
              </w:rPr>
              <w:t>比上年增长（</w:t>
            </w:r>
            <w:r>
              <w:rPr>
                <w:rFonts w:hint="eastAsia" w:ascii="宋体" w:hAnsi="宋体" w:eastAsia="宋体" w:cs="宋体"/>
                <w:snapToGrid w:val="0"/>
                <w:color w:val="333333"/>
                <w:sz w:val="18"/>
                <w:szCs w:val="18"/>
                <w:bdr w:val="none" w:color="auto" w:sz="0" w:space="0"/>
                <w:lang w:val="en-US"/>
              </w:rPr>
              <w:t>%</w:t>
            </w:r>
            <w:r>
              <w:rPr>
                <w:rFonts w:hint="eastAsia" w:ascii="宋体" w:hAnsi="宋体" w:eastAsia="宋体" w:cs="宋体"/>
                <w:snapToGrid w:val="0"/>
                <w:color w:val="333333"/>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谷物及谷物粉</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2199</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-32.8</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375</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大豆</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8391</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2247</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食用植物油</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553</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-18.3</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276</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铁矿砂及其精矿</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102412</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7.5</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3809</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氧化铝</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303</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-35.0</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58</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煤（包括褐煤）</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25551</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25.2</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938</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原油</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38101</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13.6</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7698</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成品油</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2784</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-6.5</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735</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初级形状的塑料</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2570</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2731</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纸浆</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2106</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6.2</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808</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钢材</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1321</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3.4</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869</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未锻轧铜及铜材</w:t>
            </w:r>
          </w:p>
        </w:tc>
        <w:tc>
          <w:tcPr>
            <w:tcW w:w="51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万吨</w:t>
            </w:r>
          </w:p>
        </w:tc>
        <w:tc>
          <w:tcPr>
            <w:tcW w:w="105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495</w:t>
            </w:r>
          </w:p>
        </w:tc>
        <w:tc>
          <w:tcPr>
            <w:tcW w:w="185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w:t>
            </w:r>
          </w:p>
        </w:tc>
        <w:tc>
          <w:tcPr>
            <w:tcW w:w="100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1741</w:t>
            </w:r>
          </w:p>
        </w:tc>
        <w:tc>
          <w:tcPr>
            <w:tcW w:w="1853"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020"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汽车</w:t>
            </w:r>
          </w:p>
        </w:tc>
        <w:tc>
          <w:tcPr>
            <w:tcW w:w="51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万辆</w:t>
            </w:r>
          </w:p>
        </w:tc>
        <w:tc>
          <w:tcPr>
            <w:tcW w:w="105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107</w:t>
            </w:r>
          </w:p>
        </w:tc>
        <w:tc>
          <w:tcPr>
            <w:tcW w:w="185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w:t>
            </w:r>
          </w:p>
        </w:tc>
        <w:tc>
          <w:tcPr>
            <w:tcW w:w="1007"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2942</w:t>
            </w:r>
          </w:p>
        </w:tc>
        <w:tc>
          <w:tcPr>
            <w:tcW w:w="1853"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4"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55"/>
        <w:gridCol w:w="1109"/>
        <w:gridCol w:w="1184"/>
        <w:gridCol w:w="1184"/>
        <w:gridCol w:w="977"/>
        <w:gridCol w:w="1198"/>
        <w:gridCol w:w="11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4" w:type="dxa"/>
            <w:gridSpan w:val="7"/>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表10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2016年对主要国家和地区货物进出口额及其增长速度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1455"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国家和地区</w:t>
            </w:r>
          </w:p>
        </w:tc>
        <w:tc>
          <w:tcPr>
            <w:tcW w:w="1109"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出口额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184"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184"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占我全部出口比重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977"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进口额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19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197"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占我全部进口比重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欧盟</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22369</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16.2</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13747</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5.9</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美国</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25415</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0.0</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18.4</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8887</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东盟</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16894</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12.2</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12978</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7.4</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中国香港</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19009</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-7.6</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13.7</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1107</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39.2</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日本</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8529</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6.2</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9626</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8.4</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韩国</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6185</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4.5</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10496</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中国台湾</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2665</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-4.3</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9203</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3.4</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印度</w:t>
            </w:r>
          </w:p>
        </w:tc>
        <w:tc>
          <w:tcPr>
            <w:tcW w:w="110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3850</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6.6</w:t>
            </w:r>
          </w:p>
        </w:tc>
        <w:tc>
          <w:tcPr>
            <w:tcW w:w="11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2.8</w:t>
            </w:r>
          </w:p>
        </w:tc>
        <w:tc>
          <w:tcPr>
            <w:tcW w:w="97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777</w:t>
            </w:r>
          </w:p>
        </w:tc>
        <w:tc>
          <w:tcPr>
            <w:tcW w:w="119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-6.4</w:t>
            </w:r>
          </w:p>
        </w:tc>
        <w:tc>
          <w:tcPr>
            <w:tcW w:w="119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1455"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000000"/>
                <w:kern w:val="0"/>
                <w:sz w:val="24"/>
                <w:szCs w:val="24"/>
                <w:bdr w:val="none" w:color="auto" w:sz="0" w:space="0"/>
                <w:lang w:val="en-US" w:eastAsia="zh-CN" w:bidi="ar"/>
              </w:rPr>
              <w:t>俄罗斯</w:t>
            </w:r>
          </w:p>
        </w:tc>
        <w:tc>
          <w:tcPr>
            <w:tcW w:w="1109"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2466</w:t>
            </w:r>
          </w:p>
        </w:tc>
        <w:tc>
          <w:tcPr>
            <w:tcW w:w="118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14.2</w:t>
            </w:r>
          </w:p>
        </w:tc>
        <w:tc>
          <w:tcPr>
            <w:tcW w:w="118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w:t>
            </w:r>
          </w:p>
        </w:tc>
        <w:tc>
          <w:tcPr>
            <w:tcW w:w="977"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2128</w:t>
            </w:r>
          </w:p>
        </w:tc>
        <w:tc>
          <w:tcPr>
            <w:tcW w:w="119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3.1</w:t>
            </w:r>
          </w:p>
        </w:tc>
        <w:tc>
          <w:tcPr>
            <w:tcW w:w="1197"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全年服务进出口</w:t>
      </w:r>
      <w:r>
        <w:rPr>
          <w:rFonts w:hint="eastAsia" w:ascii="宋体" w:hAnsi="宋体" w:eastAsia="宋体" w:cs="宋体"/>
          <w:color w:val="0000FF"/>
          <w:kern w:val="0"/>
          <w:sz w:val="24"/>
          <w:szCs w:val="24"/>
          <w:bdr w:val="none" w:color="auto" w:sz="0" w:space="0"/>
          <w:vertAlign w:val="superscript"/>
          <w:lang w:val="en-US" w:eastAsia="zh-CN" w:bidi="ar"/>
        </w:rPr>
        <w:t>[29]</w:t>
      </w:r>
      <w:r>
        <w:rPr>
          <w:rFonts w:hint="eastAsia" w:ascii="宋体" w:hAnsi="宋体" w:eastAsia="宋体" w:cs="宋体"/>
          <w:color w:val="333333"/>
          <w:kern w:val="0"/>
          <w:sz w:val="24"/>
          <w:szCs w:val="24"/>
          <w:bdr w:val="none" w:color="auto" w:sz="0" w:space="0"/>
          <w:lang w:val="en-US" w:eastAsia="zh-CN" w:bidi="ar"/>
        </w:rPr>
        <w:t>总额53484亿元，比上年增长14.2%。其中，服务出口18193亿元，增长2.3%；服务进口35291亿元，增长21.5%。服务进出口逆差17097亿元。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吸收外商直接投资（不含银行、证券、保险）新设立企业27900家，比上年增长5.0%。实际使用外商直接投资金额8132亿元（折1260亿美元），增长4.1%。其中“一带一路”沿线国家对华直接投资新设立企业2905家，增长34.1%；对华直接投资金额458亿元（折71亿美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3"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670"/>
        <w:gridCol w:w="1174"/>
        <w:gridCol w:w="1038"/>
        <w:gridCol w:w="1384"/>
        <w:gridCol w:w="10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67" w:hRule="atLeast"/>
          <w:jc w:val="center"/>
        </w:trPr>
        <w:tc>
          <w:tcPr>
            <w:tcW w:w="8303" w:type="dxa"/>
            <w:gridSpan w:val="5"/>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表11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2016年外商直接投资（不含银行、证券、保险）及其增长速度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67" w:hRule="atLeast"/>
          <w:jc w:val="center"/>
        </w:trPr>
        <w:tc>
          <w:tcPr>
            <w:tcW w:w="3670"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行　　业</w:t>
            </w:r>
          </w:p>
        </w:tc>
        <w:tc>
          <w:tcPr>
            <w:tcW w:w="1174"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企业数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（家）</w:t>
            </w:r>
          </w:p>
        </w:tc>
        <w:tc>
          <w:tcPr>
            <w:tcW w:w="103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c>
          <w:tcPr>
            <w:tcW w:w="1384"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实际使用金额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（亿元）</w:t>
            </w:r>
          </w:p>
        </w:tc>
        <w:tc>
          <w:tcPr>
            <w:tcW w:w="1037"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总　　　计</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27900</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5.0</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8132.2</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1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其中：农、林、牧、渔业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558</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-8.4</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123.2</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制造业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4013</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-11.0</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2303.0</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电力、燃气及水生产和供应业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311</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18.0</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139.8</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交通运输、仓储和邮政业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425</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-5.4</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329.2</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26.7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信息传输、计算机服务和软件业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1463</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11.6</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540.4</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批发和零售业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9399</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1011.1</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房地产业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378</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1264.4</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租赁和商务服务业</w:t>
            </w:r>
          </w:p>
        </w:tc>
        <w:tc>
          <w:tcPr>
            <w:tcW w:w="117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4631</w:t>
            </w:r>
          </w:p>
        </w:tc>
        <w:tc>
          <w:tcPr>
            <w:tcW w:w="103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w:t>
            </w:r>
          </w:p>
        </w:tc>
        <w:tc>
          <w:tcPr>
            <w:tcW w:w="1384"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1045.9</w:t>
            </w:r>
          </w:p>
        </w:tc>
        <w:tc>
          <w:tcPr>
            <w:tcW w:w="1037"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3670"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居民服务和其他服务业</w:t>
            </w:r>
          </w:p>
        </w:tc>
        <w:tc>
          <w:tcPr>
            <w:tcW w:w="117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245</w:t>
            </w:r>
          </w:p>
        </w:tc>
        <w:tc>
          <w:tcPr>
            <w:tcW w:w="103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13.0</w:t>
            </w:r>
          </w:p>
        </w:tc>
        <w:tc>
          <w:tcPr>
            <w:tcW w:w="1384"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33.0</w:t>
            </w:r>
          </w:p>
        </w:tc>
        <w:tc>
          <w:tcPr>
            <w:tcW w:w="1037"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-25.8</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全年对外直接投资额（不含银行、证券、保险）11299亿元，按美元计价为1701亿美元，比上年增长44.1%。其中，对“一带一路”沿线国家直接投资额145亿美元。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965"/>
        <w:gridCol w:w="1949"/>
        <w:gridCol w:w="13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67" w:hRule="atLeast"/>
          <w:jc w:val="center"/>
        </w:trPr>
        <w:tc>
          <w:tcPr>
            <w:tcW w:w="8306" w:type="dxa"/>
            <w:gridSpan w:val="3"/>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表12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2016年对外直接投资额（不含银行、证券、保险）及其增长速度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567" w:hRule="atLeast"/>
          <w:jc w:val="center"/>
        </w:trPr>
        <w:tc>
          <w:tcPr>
            <w:tcW w:w="4965"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行　　业</w:t>
            </w:r>
          </w:p>
        </w:tc>
        <w:tc>
          <w:tcPr>
            <w:tcW w:w="1949"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对外直接投资金额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（亿美元）</w:t>
            </w:r>
          </w:p>
        </w:tc>
        <w:tc>
          <w:tcPr>
            <w:tcW w:w="1392"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总　　　计</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1701.1</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21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其中：农、林、牧、渔业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29.7</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采矿业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86.7</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制造业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310.6</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116.7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电力、热力、燃气及水生产和供应业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25.3</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建筑业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53.1</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批发和零售业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275.6</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交通运输、仓储和邮政业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36.2</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信息传输、软件和信息技术服务业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203.6</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房地产业</w:t>
            </w:r>
          </w:p>
        </w:tc>
        <w:tc>
          <w:tcPr>
            <w:tcW w:w="194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106.4</w:t>
            </w:r>
          </w:p>
        </w:tc>
        <w:tc>
          <w:tcPr>
            <w:tcW w:w="139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283" w:hRule="atLeast"/>
          <w:jc w:val="center"/>
        </w:trPr>
        <w:tc>
          <w:tcPr>
            <w:tcW w:w="4965"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firstLine="840"/>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租赁和商务服务业</w:t>
            </w:r>
          </w:p>
        </w:tc>
        <w:tc>
          <w:tcPr>
            <w:tcW w:w="1949"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422.7</w:t>
            </w:r>
          </w:p>
        </w:tc>
        <w:tc>
          <w:tcPr>
            <w:tcW w:w="1392"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31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对外承包工程业务完成营业额10589亿元，按美元计价为1594亿美元，比上年增长3.5%。其中，对“一带一路”沿线国家完成营业额760亿美元，增长9.7%，占对外承包工程业务完成营业额比重为47.7%。对外劳务合作派出各类劳务人员49万人，下降6.8%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七、交通、邮电和旅游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货物运输总量440亿吨，比上年增长5.7%。货物运输周转量185295亿吨公里，增长4.0%。全年规模以上港口完成货物吞吐量118.3亿吨，比上年增长3.2%，其中外贸货物吞吐量37.6亿吨，增长4.1%。规模以上港口集装箱吞吐量21798万标准箱，增长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21" w:type="dxa"/>
        <w:jc w:val="center"/>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307"/>
        <w:gridCol w:w="1991"/>
        <w:gridCol w:w="1689"/>
        <w:gridCol w:w="2092"/>
        <w:gridCol w:w="2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079" w:type="dxa"/>
            <w:gridSpan w:val="4"/>
            <w:tcBorders>
              <w:top w:val="nil"/>
              <w:left w:val="nil"/>
              <w:bottom w:val="single" w:color="000000" w:sz="12" w:space="0"/>
              <w:right w:val="nil"/>
            </w:tcBorders>
            <w:shd w:val="clear" w:color="auto" w:fill="FFFFFF"/>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表13</w:t>
            </w:r>
            <w:r>
              <w:rPr>
                <w:rFonts w:hint="eastAsia" w:ascii="宋体" w:hAnsi="宋体" w:eastAsia="宋体" w:cs="宋体"/>
                <w:b/>
                <w:color w:val="333333"/>
                <w:kern w:val="0"/>
                <w:sz w:val="24"/>
                <w:szCs w:val="24"/>
                <w:bdr w:val="none" w:color="auto" w:sz="0" w:space="0"/>
                <w:lang w:val="en-US" w:eastAsia="zh-CN" w:bidi="ar"/>
              </w:rPr>
              <w:t xml:space="preserve">  </w:t>
            </w:r>
            <w:r>
              <w:rPr>
                <w:rFonts w:hint="eastAsia" w:ascii="宋体" w:hAnsi="宋体" w:eastAsia="宋体" w:cs="宋体"/>
                <w:b/>
                <w:snapToGrid w:val="0"/>
                <w:color w:val="333333"/>
                <w:kern w:val="0"/>
                <w:sz w:val="24"/>
                <w:szCs w:val="24"/>
                <w:bdr w:val="none" w:color="auto" w:sz="0" w:space="0"/>
                <w:lang w:val="en-US" w:eastAsia="zh-CN" w:bidi="ar"/>
              </w:rPr>
              <w:t>2016年各种运输方式完成货物运输量及其增长速度</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230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199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单　　位</w:t>
            </w:r>
          </w:p>
        </w:tc>
        <w:tc>
          <w:tcPr>
            <w:tcW w:w="1689"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绝对数</w:t>
            </w:r>
          </w:p>
        </w:tc>
        <w:tc>
          <w:tcPr>
            <w:tcW w:w="2092" w:type="dxa"/>
            <w:tcBorders>
              <w:top w:val="nil"/>
              <w:left w:val="nil"/>
              <w:bottom w:val="single" w:color="000000" w:sz="8" w:space="0"/>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货物运输总量</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　　吨</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440.4</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铁路</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　　吨</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33.3</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公路</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　　吨</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336.3</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水运</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　　吨</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63.6</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民航</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万　　吨</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666.9</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管道</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　　吨</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7.0</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货物运输周转量</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亿吨公里</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185294.9</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铁路</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亿吨公里</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23792.3</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公路</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亿吨公里</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61211.0</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水运</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亿吨公里</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95399.9</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民航</w:t>
            </w:r>
          </w:p>
        </w:tc>
        <w:tc>
          <w:tcPr>
            <w:tcW w:w="199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亿吨公里</w:t>
            </w:r>
          </w:p>
        </w:tc>
        <w:tc>
          <w:tcPr>
            <w:tcW w:w="1689"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221.1</w:t>
            </w:r>
          </w:p>
        </w:tc>
        <w:tc>
          <w:tcPr>
            <w:tcW w:w="2334" w:type="dxa"/>
            <w:gridSpan w:val="2"/>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307" w:type="dxa"/>
            <w:tcBorders>
              <w:top w:val="nil"/>
              <w:left w:val="nil"/>
              <w:bottom w:val="single" w:color="000000" w:sz="12"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管道</w:t>
            </w:r>
          </w:p>
        </w:tc>
        <w:tc>
          <w:tcPr>
            <w:tcW w:w="1991" w:type="dxa"/>
            <w:tcBorders>
              <w:top w:val="nil"/>
              <w:left w:val="nil"/>
              <w:bottom w:val="single" w:color="000000" w:sz="12"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亿吨公里</w:t>
            </w:r>
          </w:p>
        </w:tc>
        <w:tc>
          <w:tcPr>
            <w:tcW w:w="1689"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25"/>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4670.6</w:t>
            </w:r>
          </w:p>
        </w:tc>
        <w:tc>
          <w:tcPr>
            <w:tcW w:w="2334" w:type="dxa"/>
            <w:gridSpan w:val="2"/>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07"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1991"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1689"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2092"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c>
          <w:tcPr>
            <w:tcW w:w="242" w:type="dxa"/>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right="0"/>
              <w:jc w:val="left"/>
              <w:textAlignment w:val="auto"/>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全年旅客运输总量192亿人次，比上年下降1.2%。旅客运输周转量31306亿人公里，增长4.1%。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8" w:right="58"/>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表14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2016年各种运输方式完成旅客运输量及其增长速度</w:t>
      </w:r>
    </w:p>
    <w:tbl>
      <w:tblPr>
        <w:tblW w:w="833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501"/>
        <w:gridCol w:w="2001"/>
        <w:gridCol w:w="1477"/>
        <w:gridCol w:w="2115"/>
        <w:gridCol w:w="2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2501" w:type="dxa"/>
            <w:tcBorders>
              <w:top w:val="single" w:color="000000" w:sz="12" w:space="0"/>
              <w:left w:val="nil"/>
              <w:bottom w:val="single" w:color="000000" w:sz="8"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2001" w:type="dxa"/>
            <w:tcBorders>
              <w:top w:val="single" w:color="000000" w:sz="12" w:space="0"/>
              <w:left w:val="nil"/>
              <w:bottom w:val="single" w:color="000000" w:sz="8"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单　　位</w:t>
            </w:r>
          </w:p>
        </w:tc>
        <w:tc>
          <w:tcPr>
            <w:tcW w:w="1477" w:type="dxa"/>
            <w:tcBorders>
              <w:top w:val="single" w:color="000000" w:sz="12" w:space="0"/>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绝对数</w:t>
            </w:r>
          </w:p>
        </w:tc>
        <w:tc>
          <w:tcPr>
            <w:tcW w:w="2357" w:type="dxa"/>
            <w:gridSpan w:val="2"/>
            <w:tcBorders>
              <w:top w:val="single" w:color="000000" w:sz="12" w:space="0"/>
              <w:left w:val="nil"/>
              <w:bottom w:val="single" w:color="000000" w:sz="8" w:space="0"/>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旅客运输总量</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亿人次</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192.0</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铁路</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亿人次</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28.1</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11.0</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公路</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亿人次</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156.3</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-3.5</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水运</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亿人次</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2.7</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0.1</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民航</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亿人次</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4.9</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11.8</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旅客运输周转量</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亿人公里</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31305.7</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4.1</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铁路</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亿人公里</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12579.3</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5.2</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公路</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亿人公里</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10294.8</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-4.2</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水运</w:t>
            </w:r>
          </w:p>
        </w:tc>
        <w:tc>
          <w:tcPr>
            <w:tcW w:w="2001"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亿人公里</w:t>
            </w:r>
          </w:p>
        </w:tc>
        <w:tc>
          <w:tcPr>
            <w:tcW w:w="1477" w:type="dxa"/>
            <w:tcBorders>
              <w:top w:val="nil"/>
              <w:left w:val="nil"/>
              <w:bottom w:val="nil"/>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72.0</w:t>
            </w:r>
          </w:p>
        </w:tc>
        <w:tc>
          <w:tcPr>
            <w:tcW w:w="2115" w:type="dxa"/>
            <w:tcBorders>
              <w:top w:val="nil"/>
              <w:left w:val="nil"/>
              <w:bottom w:val="nil"/>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2501" w:type="dxa"/>
            <w:tcBorders>
              <w:top w:val="nil"/>
              <w:left w:val="nil"/>
              <w:bottom w:val="single" w:color="000000" w:sz="12"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民航</w:t>
            </w:r>
          </w:p>
        </w:tc>
        <w:tc>
          <w:tcPr>
            <w:tcW w:w="2001" w:type="dxa"/>
            <w:tcBorders>
              <w:top w:val="nil"/>
              <w:left w:val="nil"/>
              <w:bottom w:val="single" w:color="000000" w:sz="12"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亿人公里</w:t>
            </w:r>
          </w:p>
        </w:tc>
        <w:tc>
          <w:tcPr>
            <w:tcW w:w="1477" w:type="dxa"/>
            <w:tcBorders>
              <w:top w:val="nil"/>
              <w:left w:val="nil"/>
              <w:bottom w:val="single" w:color="000000" w:sz="12" w:space="0"/>
              <w:right w:val="single" w:color="000000" w:sz="8" w:space="0"/>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8359.5</w:t>
            </w:r>
          </w:p>
        </w:tc>
        <w:tc>
          <w:tcPr>
            <w:tcW w:w="2115" w:type="dxa"/>
            <w:tcBorders>
              <w:top w:val="nil"/>
              <w:left w:val="nil"/>
              <w:bottom w:val="single" w:color="000000" w:sz="12" w:space="0"/>
              <w:right w:val="nil"/>
            </w:tcBorders>
            <w:shd w:val="clear"/>
            <w:tcMar>
              <w:top w:w="15" w:type="dxa"/>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57" w:right="57"/>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14.8</w:t>
            </w:r>
          </w:p>
        </w:tc>
        <w:tc>
          <w:tcPr>
            <w:tcW w:w="242"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年末全国民用汽车保有量19440万辆（包括三轮汽车和低速货车881万辆），比上年末增长12.8%，其中私人汽车保有量16559万辆，增长15.0%。民用轿车保有量10876万辆，增长14.4%，其中私人轿车10152万辆，增长15.5%。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全年完成邮电业务总量</w:t>
      </w:r>
      <w:r>
        <w:rPr>
          <w:rFonts w:hint="eastAsia" w:ascii="宋体" w:hAnsi="宋体" w:eastAsia="宋体" w:cs="宋体"/>
          <w:color w:val="0000FF"/>
          <w:kern w:val="0"/>
          <w:sz w:val="24"/>
          <w:szCs w:val="24"/>
          <w:bdr w:val="none" w:color="auto" w:sz="0" w:space="0"/>
          <w:vertAlign w:val="superscript"/>
          <w:lang w:val="en-US" w:eastAsia="zh-CN" w:bidi="ar"/>
        </w:rPr>
        <w:t>[30]</w:t>
      </w:r>
      <w:r>
        <w:rPr>
          <w:rFonts w:hint="eastAsia" w:ascii="宋体" w:hAnsi="宋体" w:eastAsia="宋体" w:cs="宋体"/>
          <w:color w:val="333333"/>
          <w:kern w:val="0"/>
          <w:sz w:val="24"/>
          <w:szCs w:val="24"/>
          <w:bdr w:val="none" w:color="auto" w:sz="0" w:space="0"/>
          <w:lang w:val="en-US" w:eastAsia="zh-CN" w:bidi="ar"/>
        </w:rPr>
        <w:t>43344亿元，比上年增长52.7%。其中，邮政行业业务总量7397亿元，增长45.7%；电信业务总量35948亿元，增长54.2%。邮政业全年完成邮政函件业务36.2亿件，包裹业务0.3亿件，快递业务量312.8亿件；快递业务收入3974亿元。电信业全年新增移动电话交换机容量</w:t>
      </w:r>
      <w:r>
        <w:rPr>
          <w:rFonts w:hint="eastAsia" w:ascii="宋体" w:hAnsi="宋体" w:eastAsia="宋体" w:cs="宋体"/>
          <w:color w:val="0000FF"/>
          <w:kern w:val="0"/>
          <w:sz w:val="24"/>
          <w:szCs w:val="24"/>
          <w:bdr w:val="none" w:color="auto" w:sz="0" w:space="0"/>
          <w:vertAlign w:val="superscript"/>
          <w:lang w:val="en-US" w:eastAsia="zh-CN" w:bidi="ar"/>
        </w:rPr>
        <w:t>[31]</w:t>
      </w:r>
      <w:r>
        <w:rPr>
          <w:rFonts w:hint="eastAsia" w:ascii="宋体" w:hAnsi="宋体" w:eastAsia="宋体" w:cs="宋体"/>
          <w:color w:val="333333"/>
          <w:kern w:val="0"/>
          <w:sz w:val="24"/>
          <w:szCs w:val="24"/>
          <w:bdr w:val="none" w:color="auto" w:sz="0" w:space="0"/>
          <w:lang w:val="en-US" w:eastAsia="zh-CN" w:bidi="ar"/>
        </w:rPr>
        <w:t>7318万户，达到218384万户。年末全国电话用户总数152856万户，其中移动电话用户132193万户。移动电话普及率上升至96.2部/百人。固定互联网宽带接入用户</w:t>
      </w:r>
      <w:r>
        <w:rPr>
          <w:rFonts w:hint="eastAsia" w:ascii="宋体" w:hAnsi="宋体" w:eastAsia="宋体" w:cs="宋体"/>
          <w:color w:val="0000FF"/>
          <w:kern w:val="0"/>
          <w:sz w:val="24"/>
          <w:szCs w:val="24"/>
          <w:bdr w:val="none" w:color="auto" w:sz="0" w:space="0"/>
          <w:vertAlign w:val="superscript"/>
          <w:lang w:val="en-US" w:eastAsia="zh-CN" w:bidi="ar"/>
        </w:rPr>
        <w:t>[32]</w:t>
      </w:r>
      <w:r>
        <w:rPr>
          <w:rFonts w:hint="eastAsia" w:ascii="宋体" w:hAnsi="宋体" w:eastAsia="宋体" w:cs="宋体"/>
          <w:color w:val="333333"/>
          <w:kern w:val="0"/>
          <w:sz w:val="24"/>
          <w:szCs w:val="24"/>
          <w:bdr w:val="none" w:color="auto" w:sz="0" w:space="0"/>
          <w:lang w:val="en-US" w:eastAsia="zh-CN" w:bidi="ar"/>
        </w:rPr>
        <w:t>29721万户，比上年增加3774万户，其中固定互联网光纤宽带接入用户</w:t>
      </w:r>
      <w:r>
        <w:rPr>
          <w:rFonts w:hint="eastAsia" w:ascii="宋体" w:hAnsi="宋体" w:eastAsia="宋体" w:cs="宋体"/>
          <w:color w:val="0000FF"/>
          <w:kern w:val="0"/>
          <w:sz w:val="24"/>
          <w:szCs w:val="24"/>
          <w:bdr w:val="none" w:color="auto" w:sz="0" w:space="0"/>
          <w:vertAlign w:val="superscript"/>
          <w:lang w:val="en-US" w:eastAsia="zh-CN" w:bidi="ar"/>
        </w:rPr>
        <w:t>[33]</w:t>
      </w:r>
      <w:r>
        <w:rPr>
          <w:rFonts w:hint="eastAsia" w:ascii="宋体" w:hAnsi="宋体" w:eastAsia="宋体" w:cs="宋体"/>
          <w:color w:val="333333"/>
          <w:kern w:val="0"/>
          <w:sz w:val="24"/>
          <w:szCs w:val="24"/>
          <w:bdr w:val="none" w:color="auto" w:sz="0" w:space="0"/>
          <w:lang w:val="en-US" w:eastAsia="zh-CN" w:bidi="ar"/>
        </w:rPr>
        <w:t>22766万户，比上年增加7941万户；移动宽带用户</w:t>
      </w:r>
      <w:r>
        <w:rPr>
          <w:rFonts w:hint="eastAsia" w:ascii="宋体" w:hAnsi="宋体" w:eastAsia="宋体" w:cs="宋体"/>
          <w:color w:val="0000FF"/>
          <w:kern w:val="0"/>
          <w:sz w:val="24"/>
          <w:szCs w:val="24"/>
          <w:bdr w:val="none" w:color="auto" w:sz="0" w:space="0"/>
          <w:vertAlign w:val="superscript"/>
          <w:lang w:val="en-US" w:eastAsia="zh-CN" w:bidi="ar"/>
        </w:rPr>
        <w:t>[34]</w:t>
      </w:r>
      <w:r>
        <w:rPr>
          <w:rFonts w:hint="eastAsia" w:ascii="宋体" w:hAnsi="宋体" w:eastAsia="宋体" w:cs="宋体"/>
          <w:color w:val="333333"/>
          <w:kern w:val="0"/>
          <w:sz w:val="24"/>
          <w:szCs w:val="24"/>
          <w:bdr w:val="none" w:color="auto" w:sz="0" w:space="0"/>
          <w:lang w:val="en-US" w:eastAsia="zh-CN" w:bidi="ar"/>
        </w:rPr>
        <w:t>94075万户，增加23464万户。移动互联网接入流量93.6亿G，比上年增长123.7%。互联网上网人数7.31亿人，增加4299万人，其中手机上网人数</w:t>
      </w:r>
      <w:r>
        <w:rPr>
          <w:rFonts w:hint="eastAsia" w:ascii="宋体" w:hAnsi="宋体" w:eastAsia="宋体" w:cs="宋体"/>
          <w:color w:val="0000FF"/>
          <w:kern w:val="0"/>
          <w:sz w:val="24"/>
          <w:szCs w:val="24"/>
          <w:bdr w:val="none" w:color="auto" w:sz="0" w:space="0"/>
          <w:vertAlign w:val="superscript"/>
          <w:lang w:val="en-US" w:eastAsia="zh-CN" w:bidi="ar"/>
        </w:rPr>
        <w:t>[35]</w:t>
      </w:r>
      <w:r>
        <w:rPr>
          <w:rFonts w:hint="eastAsia" w:ascii="宋体" w:hAnsi="宋体" w:eastAsia="宋体" w:cs="宋体"/>
          <w:color w:val="333333"/>
          <w:kern w:val="0"/>
          <w:sz w:val="24"/>
          <w:szCs w:val="24"/>
          <w:bdr w:val="none" w:color="auto" w:sz="0" w:space="0"/>
          <w:lang w:val="en-US" w:eastAsia="zh-CN" w:bidi="ar"/>
        </w:rPr>
        <w:t>6.95亿人，增加7550万人。互联网普及率达到53.2%，其中农村地区互联网普及率达到33.1%。软件和信息技术服务业</w:t>
      </w:r>
      <w:r>
        <w:rPr>
          <w:rFonts w:hint="eastAsia" w:ascii="宋体" w:hAnsi="宋体" w:eastAsia="宋体" w:cs="宋体"/>
          <w:color w:val="0000FF"/>
          <w:kern w:val="0"/>
          <w:sz w:val="24"/>
          <w:szCs w:val="24"/>
          <w:bdr w:val="none" w:color="auto" w:sz="0" w:space="0"/>
          <w:vertAlign w:val="superscript"/>
          <w:lang w:val="en-US" w:eastAsia="zh-CN" w:bidi="ar"/>
        </w:rPr>
        <w:t>[36]</w:t>
      </w:r>
      <w:r>
        <w:rPr>
          <w:rFonts w:hint="eastAsia" w:ascii="宋体" w:hAnsi="宋体" w:eastAsia="宋体" w:cs="宋体"/>
          <w:color w:val="333333"/>
          <w:kern w:val="0"/>
          <w:sz w:val="24"/>
          <w:szCs w:val="24"/>
          <w:bdr w:val="none" w:color="auto" w:sz="0" w:space="0"/>
          <w:lang w:val="en-US" w:eastAsia="zh-CN" w:bidi="ar"/>
        </w:rPr>
        <w:t>完成软件业务收入48511亿元，比上年增长14.9%。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"http://www.stats.gov.cn/tjsj/zxfb/201702/./W020170228373030949479_r75.gif"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724150"/>
            <wp:effectExtent l="0" t="0" r="0" b="0"/>
            <wp:docPr id="2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71"/>
                    <pic:cNvPicPr>
                      <a:picLocks noChangeAspect="1"/>
                    </pic:cNvPicPr>
                  </pic:nvPicPr>
                  <pic:blipFill>
                    <a:blip r:embed="rId19"/>
                    <a:stretch>
                      <a:fillRect/>
                    </a:stretch>
                  </pic:blipFill>
                  <pic:spPr>
                    <a:xfrm>
                      <a:off x="0" y="0"/>
                      <a:ext cx="5029200" cy="272415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"http://www.stats.gov.cn/tjsj/zxfb/201702/./W020170228373030985275_r75.gif"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19400"/>
            <wp:effectExtent l="0" t="0" r="0" b="0"/>
            <wp:docPr id="14"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IMG_272"/>
                    <pic:cNvPicPr>
                      <a:picLocks noChangeAspect="1"/>
                    </pic:cNvPicPr>
                  </pic:nvPicPr>
                  <pic:blipFill>
                    <a:blip r:embed="rId20"/>
                    <a:stretch>
                      <a:fillRect/>
                    </a:stretch>
                  </pic:blipFill>
                  <pic:spPr>
                    <a:xfrm>
                      <a:off x="0" y="0"/>
                      <a:ext cx="5029200" cy="28194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国内游客44亿人次，比上年增长11.2%，国内旅游收入39390亿元，增长15.2%。入境游客13844万人次，增长3.5%。其中，外国人2813万人次，增长8.3%；香港、澳门和台湾同胞11031万人次，增长2.3%。在入境游客中，过夜游客5927万人次，增长4.2%。国际旅游收入1200亿美元，增长5.6%。国内居民出境13513万人次，增长5.7%。其中因私出境12850万人次，增长5.6%；赴港澳台出境8395万人次，下降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八、金融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年末广义货币供应量（M</w:t>
      </w:r>
      <w:r>
        <w:rPr>
          <w:rFonts w:hint="eastAsia" w:ascii="宋体" w:hAnsi="宋体" w:eastAsia="宋体" w:cs="宋体"/>
          <w:color w:val="333333"/>
          <w:kern w:val="0"/>
          <w:sz w:val="24"/>
          <w:szCs w:val="24"/>
          <w:bdr w:val="none" w:color="auto" w:sz="0" w:space="0"/>
          <w:vertAlign w:val="subscript"/>
          <w:lang w:val="en-US" w:eastAsia="zh-CN" w:bidi="ar"/>
        </w:rPr>
        <w:t>2</w:t>
      </w:r>
      <w:r>
        <w:rPr>
          <w:rFonts w:hint="eastAsia" w:ascii="宋体" w:hAnsi="宋体" w:eastAsia="宋体" w:cs="宋体"/>
          <w:color w:val="333333"/>
          <w:kern w:val="0"/>
          <w:sz w:val="24"/>
          <w:szCs w:val="24"/>
          <w:bdr w:val="none" w:color="auto" w:sz="0" w:space="0"/>
          <w:lang w:val="en-US" w:eastAsia="zh-CN" w:bidi="ar"/>
        </w:rPr>
        <w:t>）余额155.0万亿元，比上年末增长11.3%；狭义货币供应量（M</w:t>
      </w:r>
      <w:r>
        <w:rPr>
          <w:rFonts w:hint="eastAsia" w:ascii="宋体" w:hAnsi="宋体" w:eastAsia="宋体" w:cs="宋体"/>
          <w:color w:val="333333"/>
          <w:kern w:val="0"/>
          <w:sz w:val="24"/>
          <w:szCs w:val="24"/>
          <w:bdr w:val="none" w:color="auto" w:sz="0" w:space="0"/>
          <w:vertAlign w:val="subscript"/>
          <w:lang w:val="en-US" w:eastAsia="zh-CN" w:bidi="ar"/>
        </w:rPr>
        <w:t>1</w:t>
      </w:r>
      <w:r>
        <w:rPr>
          <w:rFonts w:hint="eastAsia" w:ascii="宋体" w:hAnsi="宋体" w:eastAsia="宋体" w:cs="宋体"/>
          <w:color w:val="333333"/>
          <w:kern w:val="0"/>
          <w:sz w:val="24"/>
          <w:szCs w:val="24"/>
          <w:bdr w:val="none" w:color="auto" w:sz="0" w:space="0"/>
          <w:lang w:val="en-US" w:eastAsia="zh-CN" w:bidi="ar"/>
        </w:rPr>
        <w:t>）余额48.7万亿元，增长21.4%；流通中货币（M</w:t>
      </w:r>
      <w:r>
        <w:rPr>
          <w:rFonts w:hint="eastAsia" w:ascii="宋体" w:hAnsi="宋体" w:eastAsia="宋体" w:cs="宋体"/>
          <w:color w:val="333333"/>
          <w:kern w:val="0"/>
          <w:sz w:val="24"/>
          <w:szCs w:val="24"/>
          <w:bdr w:val="none" w:color="auto" w:sz="0" w:space="0"/>
          <w:vertAlign w:val="subscript"/>
          <w:lang w:val="en-US" w:eastAsia="zh-CN" w:bidi="ar"/>
        </w:rPr>
        <w:t>0</w:t>
      </w:r>
      <w:r>
        <w:rPr>
          <w:rFonts w:hint="eastAsia" w:ascii="宋体" w:hAnsi="宋体" w:eastAsia="宋体" w:cs="宋体"/>
          <w:color w:val="333333"/>
          <w:kern w:val="0"/>
          <w:sz w:val="24"/>
          <w:szCs w:val="24"/>
          <w:bdr w:val="none" w:color="auto" w:sz="0" w:space="0"/>
          <w:lang w:val="en-US" w:eastAsia="zh-CN" w:bidi="ar"/>
        </w:rPr>
        <w:t>）余额6.8万亿元，增长8.1%。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全年社会融资规模增量</w:t>
      </w:r>
      <w:r>
        <w:rPr>
          <w:rFonts w:hint="eastAsia" w:ascii="宋体" w:hAnsi="宋体" w:eastAsia="宋体" w:cs="宋体"/>
          <w:color w:val="0000FF"/>
          <w:kern w:val="0"/>
          <w:sz w:val="24"/>
          <w:szCs w:val="24"/>
          <w:bdr w:val="none" w:color="auto" w:sz="0" w:space="0"/>
          <w:vertAlign w:val="superscript"/>
          <w:lang w:val="en-US" w:eastAsia="zh-CN" w:bidi="ar"/>
        </w:rPr>
        <w:t>[37]</w:t>
      </w:r>
      <w:r>
        <w:rPr>
          <w:rFonts w:hint="eastAsia" w:ascii="宋体" w:hAnsi="宋体" w:eastAsia="宋体" w:cs="宋体"/>
          <w:color w:val="333333"/>
          <w:kern w:val="0"/>
          <w:sz w:val="24"/>
          <w:szCs w:val="24"/>
          <w:bdr w:val="none" w:color="auto" w:sz="0" w:space="0"/>
          <w:lang w:val="en-US" w:eastAsia="zh-CN" w:bidi="ar"/>
        </w:rPr>
        <w:t>17.8万亿元，比上年多2.4万亿元。年末全部金融机构本外币各项存款余额155.5万亿元，比年初增加15.7万亿元，其中人民币各项存款余额150.6万亿元，增加14.9万亿元。全部金融机构本外币各项贷款余额112.1万亿元，增加12.7万亿元，其中人民币各项贷款余额106.6万亿元，增加12.6万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478"/>
        <w:gridCol w:w="2502"/>
        <w:gridCol w:w="232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表15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2016年年末全部金融机构本外币存贷款余额及其增长速度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3478"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2502"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年末数（亿元）</w:t>
            </w:r>
          </w:p>
        </w:tc>
        <w:tc>
          <w:tcPr>
            <w:tcW w:w="2326"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比上年末增长（%）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4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各项存款</w:t>
            </w:r>
          </w:p>
        </w:tc>
        <w:tc>
          <w:tcPr>
            <w:tcW w:w="25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1555247</w:t>
            </w:r>
          </w:p>
        </w:tc>
        <w:tc>
          <w:tcPr>
            <w:tcW w:w="232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4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其中：境内住户存款</w:t>
            </w:r>
          </w:p>
        </w:tc>
        <w:tc>
          <w:tcPr>
            <w:tcW w:w="25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606522</w:t>
            </w:r>
          </w:p>
        </w:tc>
        <w:tc>
          <w:tcPr>
            <w:tcW w:w="232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4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其中：人民币</w:t>
            </w:r>
          </w:p>
        </w:tc>
        <w:tc>
          <w:tcPr>
            <w:tcW w:w="25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597751</w:t>
            </w:r>
          </w:p>
        </w:tc>
        <w:tc>
          <w:tcPr>
            <w:tcW w:w="232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4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境内非金融企业存款</w:t>
            </w:r>
          </w:p>
        </w:tc>
        <w:tc>
          <w:tcPr>
            <w:tcW w:w="25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530895</w:t>
            </w:r>
          </w:p>
        </w:tc>
        <w:tc>
          <w:tcPr>
            <w:tcW w:w="232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4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各项贷款</w:t>
            </w:r>
          </w:p>
        </w:tc>
        <w:tc>
          <w:tcPr>
            <w:tcW w:w="25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1120552</w:t>
            </w:r>
          </w:p>
        </w:tc>
        <w:tc>
          <w:tcPr>
            <w:tcW w:w="232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478"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其中：境内短期贷款</w:t>
            </w:r>
          </w:p>
        </w:tc>
        <w:tc>
          <w:tcPr>
            <w:tcW w:w="2502"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380020</w:t>
            </w:r>
          </w:p>
        </w:tc>
        <w:tc>
          <w:tcPr>
            <w:tcW w:w="232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478"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　　　　　　　境内中长期贷款</w:t>
            </w:r>
          </w:p>
        </w:tc>
        <w:tc>
          <w:tcPr>
            <w:tcW w:w="2502"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635052</w:t>
            </w:r>
          </w:p>
        </w:tc>
        <w:tc>
          <w:tcPr>
            <w:tcW w:w="2326"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17.8</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主要农村金融机构（农村信用社、农村合作银行、农村商业银行）人民币贷款余额134219亿元，比年初增加13895亿元。金融机构境内住户人民币消费贷款余额250472亿元，增加60998亿元。其中，短期消费贷款余额49313亿元，增加8347亿元；中长期消费贷款余额201159亿元，增加52651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全年上市公司通过境内市场累计筹资23342亿元，比上年增加5088亿元。其中，首次公开发行A股248只，筹资1634亿元；A股现金再融资（包括公开增发、定向增发</w:t>
      </w:r>
      <w:r>
        <w:rPr>
          <w:rFonts w:hint="eastAsia" w:ascii="宋体" w:hAnsi="宋体" w:eastAsia="宋体" w:cs="宋体"/>
          <w:color w:val="0000FF"/>
          <w:kern w:val="0"/>
          <w:sz w:val="24"/>
          <w:szCs w:val="24"/>
          <w:bdr w:val="none" w:color="auto" w:sz="0" w:space="0"/>
          <w:vertAlign w:val="superscript"/>
          <w:lang w:val="en-US" w:eastAsia="zh-CN" w:bidi="ar"/>
        </w:rPr>
        <w:t>[38]</w:t>
      </w:r>
      <w:r>
        <w:rPr>
          <w:rFonts w:hint="eastAsia" w:ascii="宋体" w:hAnsi="宋体" w:eastAsia="宋体" w:cs="宋体"/>
          <w:color w:val="333333"/>
          <w:kern w:val="0"/>
          <w:sz w:val="24"/>
          <w:szCs w:val="24"/>
          <w:bdr w:val="none" w:color="auto" w:sz="0" w:space="0"/>
          <w:lang w:val="en-US" w:eastAsia="zh-CN" w:bidi="ar"/>
        </w:rPr>
        <w:t>、配股、优先股）13387亿元，增加4618亿元；上市公司通过沪深交易所发行公司债、可转债筹资8321亿元，增加414亿元。全年全国中小企业股份转让系统</w:t>
      </w:r>
      <w:r>
        <w:rPr>
          <w:rFonts w:hint="eastAsia" w:ascii="宋体" w:hAnsi="宋体" w:eastAsia="宋体" w:cs="宋体"/>
          <w:color w:val="0000FF"/>
          <w:kern w:val="0"/>
          <w:sz w:val="24"/>
          <w:szCs w:val="24"/>
          <w:bdr w:val="none" w:color="auto" w:sz="0" w:space="0"/>
          <w:vertAlign w:val="superscript"/>
          <w:lang w:val="en-US" w:eastAsia="zh-CN" w:bidi="ar"/>
        </w:rPr>
        <w:t>[39]</w:t>
      </w:r>
      <w:r>
        <w:rPr>
          <w:rFonts w:hint="eastAsia" w:ascii="宋体" w:hAnsi="宋体" w:eastAsia="宋体" w:cs="宋体"/>
          <w:color w:val="333333"/>
          <w:kern w:val="0"/>
          <w:sz w:val="24"/>
          <w:szCs w:val="24"/>
          <w:bdr w:val="none" w:color="auto" w:sz="0" w:space="0"/>
          <w:lang w:val="en-US" w:eastAsia="zh-CN" w:bidi="ar"/>
        </w:rPr>
        <w:t>新增挂牌公司5034家，筹资1391亿元，增长14.4%。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全年发行公司信用类债券</w:t>
      </w:r>
      <w:r>
        <w:rPr>
          <w:rFonts w:hint="eastAsia" w:ascii="宋体" w:hAnsi="宋体" w:eastAsia="宋体" w:cs="宋体"/>
          <w:color w:val="0000FF"/>
          <w:kern w:val="0"/>
          <w:sz w:val="24"/>
          <w:szCs w:val="24"/>
          <w:bdr w:val="none" w:color="auto" w:sz="0" w:space="0"/>
          <w:vertAlign w:val="superscript"/>
          <w:lang w:val="en-US" w:eastAsia="zh-CN" w:bidi="ar"/>
        </w:rPr>
        <w:t>[40]</w:t>
      </w:r>
      <w:r>
        <w:rPr>
          <w:rFonts w:hint="eastAsia" w:ascii="宋体" w:hAnsi="宋体" w:eastAsia="宋体" w:cs="宋体"/>
          <w:color w:val="333333"/>
          <w:kern w:val="0"/>
          <w:sz w:val="24"/>
          <w:szCs w:val="24"/>
          <w:bdr w:val="none" w:color="auto" w:sz="0" w:space="0"/>
          <w:lang w:val="en-US" w:eastAsia="zh-CN" w:bidi="ar"/>
        </w:rPr>
        <w:t>8.22万亿元，比上年增加1.50万亿元。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全年保险公司原保险保费收入</w:t>
      </w:r>
      <w:r>
        <w:rPr>
          <w:rFonts w:hint="eastAsia" w:ascii="宋体" w:hAnsi="宋体" w:eastAsia="宋体" w:cs="宋体"/>
          <w:color w:val="0000FF"/>
          <w:kern w:val="0"/>
          <w:sz w:val="24"/>
          <w:szCs w:val="24"/>
          <w:bdr w:val="none" w:color="auto" w:sz="0" w:space="0"/>
          <w:vertAlign w:val="superscript"/>
          <w:lang w:val="en-US" w:eastAsia="zh-CN" w:bidi="ar"/>
        </w:rPr>
        <w:t>[41]</w:t>
      </w:r>
      <w:r>
        <w:rPr>
          <w:rFonts w:hint="eastAsia" w:ascii="宋体" w:hAnsi="宋体" w:eastAsia="宋体" w:cs="宋体"/>
          <w:color w:val="333333"/>
          <w:kern w:val="0"/>
          <w:sz w:val="24"/>
          <w:szCs w:val="24"/>
          <w:bdr w:val="none" w:color="auto" w:sz="0" w:space="0"/>
          <w:lang w:val="en-US" w:eastAsia="zh-CN" w:bidi="ar"/>
        </w:rPr>
        <w:t>30959亿元，比上年增长27.5%。其中，寿险业务原保险保费收入17442亿元，健康险和意外伤害险业务原保险保费收入4792亿元，财产险业务原保险保费收入8725亿元。支付各类赔款及给付10513亿元。其中，寿险业务给付4603亿元，健康险和意外伤害险赔款及给付1184亿元，财产险业务赔款4726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九、人民生活和社会保障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全年全国居民人均可支配收入</w:t>
      </w:r>
      <w:r>
        <w:rPr>
          <w:rFonts w:hint="eastAsia" w:ascii="宋体" w:hAnsi="宋体" w:eastAsia="宋体" w:cs="宋体"/>
          <w:color w:val="0000FF"/>
          <w:kern w:val="0"/>
          <w:sz w:val="24"/>
          <w:szCs w:val="24"/>
          <w:bdr w:val="none" w:color="auto" w:sz="0" w:space="0"/>
          <w:vertAlign w:val="superscript"/>
          <w:lang w:val="en-US" w:eastAsia="zh-CN" w:bidi="ar"/>
        </w:rPr>
        <w:t>[42]</w:t>
      </w:r>
      <w:r>
        <w:rPr>
          <w:rFonts w:hint="eastAsia" w:ascii="宋体" w:hAnsi="宋体" w:eastAsia="宋体" w:cs="宋体"/>
          <w:color w:val="333333"/>
          <w:kern w:val="0"/>
          <w:sz w:val="24"/>
          <w:szCs w:val="24"/>
          <w:bdr w:val="none" w:color="auto" w:sz="0" w:space="0"/>
          <w:lang w:val="en-US" w:eastAsia="zh-CN" w:bidi="ar"/>
        </w:rPr>
        <w:t>23821元，比上年增长8.4%，扣除价格因素，实际增长6.3%；全国居民人均可支配收入中位数</w:t>
      </w:r>
      <w:r>
        <w:rPr>
          <w:rFonts w:hint="eastAsia" w:ascii="宋体" w:hAnsi="宋体" w:eastAsia="宋体" w:cs="宋体"/>
          <w:color w:val="0000FF"/>
          <w:kern w:val="0"/>
          <w:sz w:val="24"/>
          <w:szCs w:val="24"/>
          <w:bdr w:val="none" w:color="auto" w:sz="0" w:space="0"/>
          <w:vertAlign w:val="superscript"/>
          <w:lang w:val="en-US" w:eastAsia="zh-CN" w:bidi="ar"/>
        </w:rPr>
        <w:t>[43]</w:t>
      </w:r>
      <w:r>
        <w:rPr>
          <w:rFonts w:hint="eastAsia" w:ascii="宋体" w:hAnsi="宋体" w:eastAsia="宋体" w:cs="宋体"/>
          <w:color w:val="333333"/>
          <w:kern w:val="0"/>
          <w:sz w:val="24"/>
          <w:szCs w:val="24"/>
          <w:bdr w:val="none" w:color="auto" w:sz="0" w:space="0"/>
          <w:lang w:val="en-US" w:eastAsia="zh-CN" w:bidi="ar"/>
        </w:rPr>
        <w:t>20883元，增长8.3%。按常住地分，城镇居民人均可支配收入33616元，比上年增长7.8%，扣除价格因素，实际增长5.6%；城镇居民人均可支配收入中位数31554元，增长8.3%。农村居民人均可支配收入12363元，比上年增长8.2%，扣除价格因素，实际增长6.2%；农村居民人均可支配收入中位数11149元，增长8.3%。按全国居民五等份收入分组</w:t>
      </w:r>
      <w:r>
        <w:rPr>
          <w:rFonts w:hint="eastAsia" w:ascii="宋体" w:hAnsi="宋体" w:eastAsia="宋体" w:cs="宋体"/>
          <w:color w:val="0000FF"/>
          <w:kern w:val="0"/>
          <w:sz w:val="24"/>
          <w:szCs w:val="24"/>
          <w:bdr w:val="none" w:color="auto" w:sz="0" w:space="0"/>
          <w:vertAlign w:val="superscript"/>
          <w:lang w:val="en-US" w:eastAsia="zh-CN" w:bidi="ar"/>
        </w:rPr>
        <w:t>[44]</w:t>
      </w:r>
      <w:r>
        <w:rPr>
          <w:rFonts w:hint="eastAsia" w:ascii="宋体" w:hAnsi="宋体" w:eastAsia="宋体" w:cs="宋体"/>
          <w:color w:val="333333"/>
          <w:kern w:val="0"/>
          <w:sz w:val="24"/>
          <w:szCs w:val="24"/>
          <w:bdr w:val="none" w:color="auto" w:sz="0" w:space="0"/>
          <w:lang w:val="en-US" w:eastAsia="zh-CN" w:bidi="ar"/>
        </w:rPr>
        <w:t>，低收入组人均可支配收入5529元，中等偏下收入组人均可支配收入12899元，中等收入组人均可支配收入20924元，中等偏上收入组人均可支配收入31990元，高收入组人均可支配收入59259元。贫困地区</w:t>
      </w:r>
      <w:r>
        <w:rPr>
          <w:rFonts w:hint="eastAsia" w:ascii="宋体" w:hAnsi="宋体" w:eastAsia="宋体" w:cs="宋体"/>
          <w:color w:val="0000FF"/>
          <w:kern w:val="0"/>
          <w:sz w:val="24"/>
          <w:szCs w:val="24"/>
          <w:bdr w:val="none" w:color="auto" w:sz="0" w:space="0"/>
          <w:vertAlign w:val="superscript"/>
          <w:lang w:val="en-US" w:eastAsia="zh-CN" w:bidi="ar"/>
        </w:rPr>
        <w:t>[45]</w:t>
      </w:r>
      <w:r>
        <w:rPr>
          <w:rFonts w:hint="eastAsia" w:ascii="宋体" w:hAnsi="宋体" w:eastAsia="宋体" w:cs="宋体"/>
          <w:color w:val="333333"/>
          <w:kern w:val="0"/>
          <w:sz w:val="24"/>
          <w:szCs w:val="24"/>
          <w:bdr w:val="none" w:color="auto" w:sz="0" w:space="0"/>
          <w:lang w:val="en-US" w:eastAsia="zh-CN" w:bidi="ar"/>
        </w:rPr>
        <w:t>农村居民人均可支配收入8452元，比上年增长10.4%，扣除价格因素，实际增长8.4%。全国农民工人均月收入3275元，比上年增长6.6%。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国居民人均消费支出17111元，比上年增长8.9%，扣除价格因素，实际增长6.8%。按常住地分，城镇居民人均消费支出23079元，增长7.9%，扣除价格因素，实际增长5.7%；农村居民人均消费支出10130元，增长9.8%，扣除价格因素，实际增长7.8%。恩格尔系数为30.1%，比上年下降0.5个百分点，其中城镇为29.3%，农村为32.2%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"http://www.stats.gov.cn/tjsj/zxfb/201702/./W020170228373031023677_r75.gif"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47975"/>
            <wp:effectExtent l="0" t="0" r="0" b="9525"/>
            <wp:docPr id="15"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73"/>
                    <pic:cNvPicPr>
                      <a:picLocks noChangeAspect="1"/>
                    </pic:cNvPicPr>
                  </pic:nvPicPr>
                  <pic:blipFill>
                    <a:blip r:embed="rId21"/>
                    <a:stretch>
                      <a:fillRect/>
                    </a:stretch>
                  </pic:blipFill>
                  <pic:spPr>
                    <a:xfrm>
                      <a:off x="0" y="0"/>
                      <a:ext cx="502920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"http://www.stats.gov.cn/tjsj/zxfb/201702/./W020170228373031069216_r75.gif"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38725" cy="3000375"/>
            <wp:effectExtent l="0" t="0" r="9525" b="9525"/>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2"/>
                    <a:stretch>
                      <a:fillRect/>
                    </a:stretch>
                  </pic:blipFill>
                  <pic:spPr>
                    <a:xfrm>
                      <a:off x="0" y="0"/>
                      <a:ext cx="5038725" cy="30003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参加城镇职工基本养老保险人数37862万人，比上年末增加2501万人。参加城乡居民基本养老保险人数50847万人，增加375万人。参加城镇基本医疗保险人数74839万人，增加8257万人。其中，参加职工基本医疗保险人数29524万人，增加631万人；参加城镇居民基本医疗保险人数45315万人，增加7626万人。参加失业保险人数18089万人，增加763万人。年末全国领取失业保险金人数230万人。参加工伤保险人数21887万人，增加455万人，其中参加工伤保险的农民工7510万人，增加21万人。参加生育保险人数18443万人，增加672万人。年末全国共有1479.9万人享受城市居民最低生活保障，4576.5万人享受农村居民最低生活保障，496.9万人享受农村特困人员</w:t>
      </w:r>
      <w:r>
        <w:rPr>
          <w:rFonts w:hint="eastAsia" w:ascii="宋体" w:hAnsi="宋体" w:eastAsia="宋体" w:cs="宋体"/>
          <w:color w:val="0000FF"/>
          <w:kern w:val="0"/>
          <w:sz w:val="24"/>
          <w:szCs w:val="24"/>
          <w:bdr w:val="none" w:color="auto" w:sz="0" w:space="0"/>
          <w:vertAlign w:val="superscript"/>
          <w:lang w:val="en-US" w:eastAsia="zh-CN" w:bidi="ar"/>
        </w:rPr>
        <w:t>[46]</w:t>
      </w:r>
      <w:r>
        <w:rPr>
          <w:rFonts w:hint="eastAsia" w:ascii="宋体" w:hAnsi="宋体" w:eastAsia="宋体" w:cs="宋体"/>
          <w:color w:val="333333"/>
          <w:kern w:val="0"/>
          <w:sz w:val="24"/>
          <w:szCs w:val="24"/>
          <w:bdr w:val="none" w:color="auto" w:sz="0" w:space="0"/>
          <w:lang w:val="en-US" w:eastAsia="zh-CN" w:bidi="ar"/>
        </w:rPr>
        <w:t>救助供养。全年资助5620.6万人参加基本医疗保险，医疗救助3099.8万人次。国家抚恤、补助各类优抚对象877.2万人。按照每人每年2300元（2010年不变价）的农村贫困标准计算，2016年农村贫困人口4335万人，比上年减少1240万人</w:t>
      </w:r>
      <w:r>
        <w:rPr>
          <w:rFonts w:hint="eastAsia" w:ascii="宋体" w:hAnsi="宋体" w:eastAsia="宋体" w:cs="宋体"/>
          <w:color w:val="0000FF"/>
          <w:kern w:val="0"/>
          <w:sz w:val="24"/>
          <w:szCs w:val="24"/>
          <w:bdr w:val="none" w:color="auto" w:sz="0" w:space="0"/>
          <w:vertAlign w:val="superscript"/>
          <w:lang w:val="en-US" w:eastAsia="zh-CN" w:bidi="ar"/>
        </w:rPr>
        <w:t>[47]</w:t>
      </w:r>
      <w:r>
        <w:rPr>
          <w:rFonts w:hint="eastAsia" w:ascii="宋体" w:hAnsi="宋体" w:eastAsia="宋体" w:cs="宋体"/>
          <w:color w:val="333333"/>
          <w:kern w:val="0"/>
          <w:sz w:val="24"/>
          <w:szCs w:val="24"/>
          <w:bdr w:val="none" w:color="auto" w:sz="0" w:space="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十、教育、科学技术和文化体育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全年研究生教育招生66.7万人，在学研究生198.1万人，毕业生56.4万人。普通本专科招生748.6万人，在校生2695.8万人，毕业生704.2万人。中等职业教育</w:t>
      </w:r>
      <w:r>
        <w:rPr>
          <w:rFonts w:hint="eastAsia" w:ascii="宋体" w:hAnsi="宋体" w:eastAsia="宋体" w:cs="宋体"/>
          <w:color w:val="0000FF"/>
          <w:kern w:val="0"/>
          <w:sz w:val="24"/>
          <w:szCs w:val="24"/>
          <w:bdr w:val="none" w:color="auto" w:sz="0" w:space="0"/>
          <w:vertAlign w:val="superscript"/>
          <w:lang w:val="en-US" w:eastAsia="zh-CN" w:bidi="ar"/>
        </w:rPr>
        <w:t>[48]</w:t>
      </w:r>
      <w:r>
        <w:rPr>
          <w:rFonts w:hint="eastAsia" w:ascii="宋体" w:hAnsi="宋体" w:eastAsia="宋体" w:cs="宋体"/>
          <w:color w:val="333333"/>
          <w:kern w:val="0"/>
          <w:sz w:val="24"/>
          <w:szCs w:val="24"/>
          <w:bdr w:val="none" w:color="auto" w:sz="0" w:space="0"/>
          <w:lang w:val="en-US" w:eastAsia="zh-CN" w:bidi="ar"/>
        </w:rPr>
        <w:t>招生593.3万人，在校生1599.1万人，毕业生533.7万人。普通高中招生802.9万人，在校生2366.6万人，毕业生792.4万人。初中招生1487.2万人，在校生4329.4万人，毕业生1423.9万人。普通小学招生1752.5万人，在校生9913.0万人，毕业生1507.4万人。特殊教育招生9.2万人，在校生49.2万人，毕业生5.9万人。学前教育在园幼儿4413.9万人。九年义务教育巩固率为93.4%，高中阶段毛入学率为87.5%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"http://www.stats.gov.cn/tjsj/zxfb/201702/./W020170228373031091623_r75.gif"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95600"/>
            <wp:effectExtent l="0" t="0" r="0" b="0"/>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23"/>
                    <a:stretch>
                      <a:fillRect/>
                    </a:stretch>
                  </pic:blipFill>
                  <pic:spPr>
                    <a:xfrm>
                      <a:off x="0" y="0"/>
                      <a:ext cx="5029200" cy="28956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研究与试验发展（R&amp;D）经费支出15500亿元，比上年增长9.4%，与国内生产总值之比为2.08%，其中基础研究经费798亿元。全年国家重点研发计划共安排42个重点专项1163个科技项目，国家科技重大专项共安排224个课题，国家自然科学基金共资助41184个项目。截至年底，累计建设国家重点实验室488个，国家工程研究中心131个，国家工程实验室194个，国家企业技术中心1276家。国家科技成果转化引导基金累计设立9支子基金，资金总规模173.5亿元。全年受理境内外专利申请346.5万件，授予专利权175.4万件。截至年底，有效专利628.5万件，其中境内有效发明专利110.3万件，每万人口发明专利拥有量8.0件。全年共签订技术合同32.0万项，技术合同成交金额11407亿元，比上年增长16.0%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"http://www.stats.gov.cn/tjsj/zxfb/201702/./W020170228373031135141_r75.gif"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10150" cy="2847975"/>
            <wp:effectExtent l="0" t="0" r="0" b="9525"/>
            <wp:docPr id="10"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descr="IMG_276"/>
                    <pic:cNvPicPr>
                      <a:picLocks noChangeAspect="1"/>
                    </pic:cNvPicPr>
                  </pic:nvPicPr>
                  <pic:blipFill>
                    <a:blip r:embed="rId24"/>
                    <a:stretch>
                      <a:fillRect/>
                    </a:stretch>
                  </pic:blipFill>
                  <pic:spPr>
                    <a:xfrm>
                      <a:off x="0" y="0"/>
                      <a:ext cx="501015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tbl>
      <w:tblPr>
        <w:tblW w:w="830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793"/>
        <w:gridCol w:w="2317"/>
        <w:gridCol w:w="21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jc w:val="center"/>
        </w:trPr>
        <w:tc>
          <w:tcPr>
            <w:tcW w:w="8306" w:type="dxa"/>
            <w:gridSpan w:val="3"/>
            <w:tcBorders>
              <w:top w:val="nil"/>
              <w:left w:val="nil"/>
              <w:bottom w:val="single" w:color="000000" w:sz="12" w:space="0"/>
              <w:right w:val="nil"/>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b/>
                <w:snapToGrid w:val="0"/>
                <w:color w:val="333333"/>
                <w:kern w:val="0"/>
                <w:sz w:val="24"/>
                <w:szCs w:val="24"/>
                <w:bdr w:val="none" w:color="auto" w:sz="0" w:space="0"/>
                <w:lang w:val="en-US" w:eastAsia="zh-CN" w:bidi="ar"/>
              </w:rPr>
              <w:t xml:space="preserve">　　表16 </w:t>
            </w:r>
            <w:r>
              <w:rPr>
                <w:rFonts w:hint="eastAsia" w:ascii="宋体" w:hAnsi="宋体" w:eastAsia="宋体" w:cs="宋体"/>
                <w:b/>
                <w:color w:val="333333"/>
                <w:kern w:val="0"/>
                <w:sz w:val="24"/>
                <w:szCs w:val="24"/>
                <w:bdr w:val="none" w:color="auto" w:sz="0" w:space="0"/>
                <w:lang w:val="en-US" w:eastAsia="zh-CN" w:bidi="ar"/>
              </w:rPr>
              <w:t> </w:t>
            </w:r>
            <w:r>
              <w:rPr>
                <w:rFonts w:hint="eastAsia" w:ascii="宋体" w:hAnsi="宋体" w:eastAsia="宋体" w:cs="宋体"/>
                <w:b/>
                <w:snapToGrid w:val="0"/>
                <w:color w:val="333333"/>
                <w:kern w:val="0"/>
                <w:sz w:val="24"/>
                <w:szCs w:val="24"/>
                <w:bdr w:val="none" w:color="auto" w:sz="0" w:space="0"/>
                <w:lang w:val="en-US" w:eastAsia="zh-CN" w:bidi="ar"/>
              </w:rPr>
              <w:t>2016年专利申请受理、授权和有效专利情况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793"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指　标</w:t>
            </w:r>
          </w:p>
        </w:tc>
        <w:tc>
          <w:tcPr>
            <w:tcW w:w="2317" w:type="dxa"/>
            <w:tcBorders>
              <w:top w:val="nil"/>
              <w:left w:val="nil"/>
              <w:bottom w:val="single" w:color="000000" w:sz="8"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专利数（万件）</w:t>
            </w:r>
          </w:p>
        </w:tc>
        <w:tc>
          <w:tcPr>
            <w:tcW w:w="2196" w:type="dxa"/>
            <w:tcBorders>
              <w:top w:val="nil"/>
              <w:left w:val="nil"/>
              <w:bottom w:val="single" w:color="000000" w:sz="8"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center"/>
              <w:textAlignment w:val="auto"/>
            </w:pPr>
            <w:r>
              <w:rPr>
                <w:rFonts w:hint="eastAsia" w:ascii="宋体" w:hAnsi="宋体" w:eastAsia="宋体" w:cs="宋体"/>
                <w:snapToGrid w:val="0"/>
                <w:color w:val="333333"/>
                <w:kern w:val="0"/>
                <w:sz w:val="24"/>
                <w:szCs w:val="24"/>
                <w:bdr w:val="none" w:color="auto" w:sz="0" w:space="0"/>
                <w:lang w:val="en-US" w:eastAsia="zh-CN" w:bidi="ar"/>
              </w:rPr>
              <w:t>比上年增长（%）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专利申请受理数</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346.5</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其中：境内专利申请受理</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328.1</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其中：发明专利申请受理</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133.9</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84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其中：境内发明专利</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119.3</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24.7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专利申请授权数</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175.4</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其中：境内专利授权</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161.2</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其中：发明专利授权</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40.4</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84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其中：境内发明专利</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29.5</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年末有效专利数</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628.5</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14.7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其中：境内有效专利</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540.6</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93"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42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其中：有效发明专利</w:t>
            </w:r>
          </w:p>
        </w:tc>
        <w:tc>
          <w:tcPr>
            <w:tcW w:w="2317" w:type="dxa"/>
            <w:tcBorders>
              <w:top w:val="nil"/>
              <w:left w:val="nil"/>
              <w:bottom w:val="nil"/>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177.2</w:t>
            </w:r>
          </w:p>
        </w:tc>
        <w:tc>
          <w:tcPr>
            <w:tcW w:w="2196" w:type="dxa"/>
            <w:tcBorders>
              <w:top w:val="nil"/>
              <w:left w:val="nil"/>
              <w:bottom w:val="nil"/>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793"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840" w:right="57"/>
              <w:jc w:val="left"/>
              <w:textAlignment w:val="auto"/>
            </w:pPr>
            <w:r>
              <w:rPr>
                <w:rFonts w:hint="eastAsia" w:ascii="宋体" w:hAnsi="宋体" w:eastAsia="宋体" w:cs="宋体"/>
                <w:snapToGrid w:val="0"/>
                <w:color w:val="333333"/>
                <w:kern w:val="0"/>
                <w:sz w:val="24"/>
                <w:szCs w:val="24"/>
                <w:bdr w:val="none" w:color="auto" w:sz="0" w:space="0"/>
                <w:lang w:val="en-US" w:eastAsia="zh-CN" w:bidi="ar"/>
              </w:rPr>
              <w:t>其中：境内有效发明专利</w:t>
            </w:r>
          </w:p>
        </w:tc>
        <w:tc>
          <w:tcPr>
            <w:tcW w:w="2317" w:type="dxa"/>
            <w:tcBorders>
              <w:top w:val="nil"/>
              <w:left w:val="nil"/>
              <w:bottom w:val="single" w:color="000000" w:sz="12" w:space="0"/>
              <w:right w:val="single" w:color="000000" w:sz="8" w:space="0"/>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110.3</w:t>
            </w:r>
          </w:p>
        </w:tc>
        <w:tc>
          <w:tcPr>
            <w:tcW w:w="2196" w:type="dxa"/>
            <w:tcBorders>
              <w:top w:val="nil"/>
              <w:left w:val="nil"/>
              <w:bottom w:val="single" w:color="000000" w:sz="12" w:space="0"/>
              <w:right w:val="nil"/>
            </w:tcBorders>
            <w:shd w:val="cle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57" w:right="840"/>
              <w:jc w:val="right"/>
              <w:textAlignment w:val="auto"/>
            </w:pPr>
            <w:r>
              <w:rPr>
                <w:rFonts w:hint="eastAsia" w:ascii="宋体" w:hAnsi="宋体" w:eastAsia="宋体" w:cs="宋体"/>
                <w:snapToGrid w:val="0"/>
                <w:color w:val="333333"/>
                <w:kern w:val="0"/>
                <w:sz w:val="24"/>
                <w:szCs w:val="24"/>
                <w:bdr w:val="none" w:color="auto" w:sz="0" w:space="0"/>
                <w:lang w:val="en-US" w:eastAsia="zh-CN" w:bidi="ar"/>
              </w:rPr>
              <w:t>26.6</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完成22次宇航发射。长征五号、长征七号新一代运载火箭成功首飞；天宫二号空间实验室、神舟十一号载人飞船成功发射，航天员在轨驻留30天并安全返回；新一代静止轨道气象卫星风云四号、合成孔径雷达卫星高分三号、3颗北斗导航卫星等成功发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共有产品检测实验室34487个，其中国家检测中心681个。全国现有产品质量、体系认证机构312个，已累计完成对152525个企业的产品认证。全国共有法定计量技术机构3933个，全年强制检定计量器具7878万台（件）。全年制定、修订国家标准1763项，其中新制定1255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年末全国文化系统共有艺术表演团体2046个，博物馆3060个。全国共有公共图书馆3172个，总流通</w:t>
      </w:r>
      <w:r>
        <w:rPr>
          <w:rFonts w:hint="eastAsia" w:ascii="宋体" w:hAnsi="宋体" w:eastAsia="宋体" w:cs="宋体"/>
          <w:color w:val="0000FF"/>
          <w:kern w:val="0"/>
          <w:sz w:val="24"/>
          <w:szCs w:val="24"/>
          <w:bdr w:val="none" w:color="auto" w:sz="0" w:space="0"/>
          <w:vertAlign w:val="superscript"/>
          <w:lang w:val="en-US" w:eastAsia="zh-CN" w:bidi="ar"/>
        </w:rPr>
        <w:t>[49]</w:t>
      </w:r>
      <w:r>
        <w:rPr>
          <w:rFonts w:hint="eastAsia" w:ascii="宋体" w:hAnsi="宋体" w:eastAsia="宋体" w:cs="宋体"/>
          <w:color w:val="333333"/>
          <w:kern w:val="0"/>
          <w:sz w:val="24"/>
          <w:szCs w:val="24"/>
          <w:bdr w:val="none" w:color="auto" w:sz="0" w:space="0"/>
          <w:lang w:val="en-US" w:eastAsia="zh-CN" w:bidi="ar"/>
        </w:rPr>
        <w:t>64781万人次；文化馆3338个。有线电视实际用户2.23亿户，其中有线数字电视实际用户1.97亿户。年末广播节目综合人口覆盖率为98.4%，电视节目综合人口覆盖率为98.9%。全年生产电视剧330部14768集，电视动画片119895分钟。全年生产故事影片772部，科教、纪录、动画和特种影片</w:t>
      </w:r>
      <w:r>
        <w:rPr>
          <w:rFonts w:hint="eastAsia" w:ascii="宋体" w:hAnsi="宋体" w:eastAsia="宋体" w:cs="宋体"/>
          <w:color w:val="0000FF"/>
          <w:kern w:val="0"/>
          <w:sz w:val="24"/>
          <w:szCs w:val="24"/>
          <w:bdr w:val="none" w:color="auto" w:sz="0" w:space="0"/>
          <w:vertAlign w:val="superscript"/>
          <w:lang w:val="en-US" w:eastAsia="zh-CN" w:bidi="ar"/>
        </w:rPr>
        <w:t>[50]</w:t>
      </w:r>
      <w:r>
        <w:rPr>
          <w:rFonts w:hint="eastAsia" w:ascii="宋体" w:hAnsi="宋体" w:eastAsia="宋体" w:cs="宋体"/>
          <w:color w:val="333333"/>
          <w:kern w:val="0"/>
          <w:sz w:val="24"/>
          <w:szCs w:val="24"/>
          <w:bdr w:val="none" w:color="auto" w:sz="0" w:space="0"/>
          <w:lang w:val="en-US" w:eastAsia="zh-CN" w:bidi="ar"/>
        </w:rPr>
        <w:t>172部。出版各类报纸394亿份，各类期刊27亿册，图书86亿册（张），人均图书拥有量</w:t>
      </w:r>
      <w:r>
        <w:rPr>
          <w:rFonts w:hint="eastAsia" w:ascii="宋体" w:hAnsi="宋体" w:eastAsia="宋体" w:cs="宋体"/>
          <w:color w:val="0000FF"/>
          <w:kern w:val="0"/>
          <w:sz w:val="24"/>
          <w:szCs w:val="24"/>
          <w:bdr w:val="none" w:color="auto" w:sz="0" w:space="0"/>
          <w:vertAlign w:val="superscript"/>
          <w:lang w:val="en-US" w:eastAsia="zh-CN" w:bidi="ar"/>
        </w:rPr>
        <w:t>[51]</w:t>
      </w:r>
      <w:r>
        <w:rPr>
          <w:rFonts w:hint="eastAsia" w:ascii="宋体" w:hAnsi="宋体" w:eastAsia="宋体" w:cs="宋体"/>
          <w:color w:val="333333"/>
          <w:kern w:val="0"/>
          <w:sz w:val="24"/>
          <w:szCs w:val="24"/>
          <w:bdr w:val="none" w:color="auto" w:sz="0" w:space="0"/>
          <w:lang w:val="en-US" w:eastAsia="zh-CN" w:bidi="ar"/>
        </w:rPr>
        <w:t>6.27册（张）。年末全国共有档案馆4193个，已开放各类档案13388万卷（件）。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我国运动员在23个运动大项中获得107个世界冠军，共创9项世界纪录。在里约奥运会上，我国运动员共获得26枚金牌，奖牌总数70枚，位列奥运会金牌榜第三位，奖牌榜第二位。全年我国残疾人运动员在17项国际赛事中获得237个世界冠军。在里约残奥会上，我国运动员共获得107枚金牌，蝉联金牌榜和奖牌榜第一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十一、卫生和社会服务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共有医疗卫生机构99.3万个，其中医院2.9万个，在医院中有公立医院1.3万个，民营医院1.6万个；基层医疗卫生机构93.1万个，其中乡镇卫生院3.7万个，社区卫生服务中心（站）3.5万个，门诊部（所）21.7万个，村卫生室64.2万个；专业公共卫生机构2.9万个，其中疾病预防控制中心3484个，卫生监督所（中心）3138个。年末卫生技术人员844万人，其中执业医师和执业助理医师317万人，注册护士350万人。医疗卫生机构床位747万张，其中医院575万张，乡镇卫生院123万张。全年总诊疗人次</w:t>
      </w:r>
      <w:r>
        <w:rPr>
          <w:rFonts w:hint="eastAsia" w:ascii="宋体" w:hAnsi="宋体" w:eastAsia="宋体" w:cs="宋体"/>
          <w:color w:val="0000FF"/>
          <w:kern w:val="0"/>
          <w:sz w:val="24"/>
          <w:szCs w:val="24"/>
          <w:bdr w:val="none" w:color="auto" w:sz="0" w:space="0"/>
          <w:vertAlign w:val="superscript"/>
          <w:lang w:val="en-US" w:eastAsia="zh-CN" w:bidi="ar"/>
        </w:rPr>
        <w:t>[52]</w:t>
      </w:r>
      <w:r>
        <w:rPr>
          <w:rFonts w:hint="eastAsia" w:ascii="宋体" w:hAnsi="宋体" w:eastAsia="宋体" w:cs="宋体"/>
          <w:color w:val="333333"/>
          <w:kern w:val="0"/>
          <w:sz w:val="24"/>
          <w:szCs w:val="24"/>
          <w:bdr w:val="none" w:color="auto" w:sz="0" w:space="0"/>
          <w:lang w:val="en-US" w:eastAsia="zh-CN" w:bidi="ar"/>
        </w:rPr>
        <w:t>78.0亿人次，出院人数</w:t>
      </w:r>
      <w:r>
        <w:rPr>
          <w:rFonts w:hint="eastAsia" w:ascii="宋体" w:hAnsi="宋体" w:eastAsia="宋体" w:cs="宋体"/>
          <w:color w:val="0000FF"/>
          <w:kern w:val="0"/>
          <w:sz w:val="24"/>
          <w:szCs w:val="24"/>
          <w:bdr w:val="none" w:color="auto" w:sz="0" w:space="0"/>
          <w:vertAlign w:val="superscript"/>
          <w:lang w:val="en-US" w:eastAsia="zh-CN" w:bidi="ar"/>
        </w:rPr>
        <w:t>[53]</w:t>
      </w:r>
      <w:r>
        <w:rPr>
          <w:rFonts w:hint="eastAsia" w:ascii="宋体" w:hAnsi="宋体" w:eastAsia="宋体" w:cs="宋体"/>
          <w:color w:val="333333"/>
          <w:kern w:val="0"/>
          <w:sz w:val="24"/>
          <w:szCs w:val="24"/>
          <w:bdr w:val="none" w:color="auto" w:sz="0" w:space="0"/>
          <w:lang w:val="en-US" w:eastAsia="zh-CN" w:bidi="ar"/>
        </w:rPr>
        <w:t>2.2亿人。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"http://www.stats.gov.cn/tjsj/zxfb/201702/./W020170228373031172796_r75.gif"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47975"/>
            <wp:effectExtent l="0" t="0" r="0" b="9525"/>
            <wp:docPr id="4"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descr="IMG_277"/>
                    <pic:cNvPicPr>
                      <a:picLocks noChangeAspect="1"/>
                    </pic:cNvPicPr>
                  </pic:nvPicPr>
                  <pic:blipFill>
                    <a:blip r:embed="rId25"/>
                    <a:stretch>
                      <a:fillRect/>
                    </a:stretch>
                  </pic:blipFill>
                  <pic:spPr>
                    <a:xfrm>
                      <a:off x="0" y="0"/>
                      <a:ext cx="5029200" cy="2847975"/>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年末全国共有各类提供住宿的社会服务机构3.1万个，其中养老服务机构2.8万个，儿童服务机构713个。社会服务床位</w:t>
      </w:r>
      <w:r>
        <w:rPr>
          <w:rFonts w:hint="eastAsia" w:ascii="宋体" w:hAnsi="宋体" w:eastAsia="宋体" w:cs="宋体"/>
          <w:color w:val="0000FF"/>
          <w:kern w:val="0"/>
          <w:sz w:val="24"/>
          <w:szCs w:val="24"/>
          <w:bdr w:val="none" w:color="auto" w:sz="0" w:space="0"/>
          <w:vertAlign w:val="superscript"/>
          <w:lang w:val="en-US" w:eastAsia="zh-CN" w:bidi="ar"/>
        </w:rPr>
        <w:t>[54]</w:t>
      </w:r>
      <w:r>
        <w:rPr>
          <w:rFonts w:hint="eastAsia" w:ascii="宋体" w:hAnsi="宋体" w:eastAsia="宋体" w:cs="宋体"/>
          <w:color w:val="333333"/>
          <w:kern w:val="0"/>
          <w:sz w:val="24"/>
          <w:szCs w:val="24"/>
          <w:bdr w:val="none" w:color="auto" w:sz="0" w:space="0"/>
          <w:lang w:val="en-US" w:eastAsia="zh-CN" w:bidi="ar"/>
        </w:rPr>
        <w:t>716.6万张，其中养老服务床位680.0万张，儿童服务床位10.0万张。年末共有社区服务中心2.4万个，社区服务站13.0万个。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十二、资源、环境和安全生产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b/>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全年全国国有建设用地供应总量</w:t>
      </w:r>
      <w:r>
        <w:rPr>
          <w:rFonts w:hint="eastAsia" w:ascii="宋体" w:hAnsi="宋体" w:eastAsia="宋体" w:cs="宋体"/>
          <w:color w:val="0000FF"/>
          <w:kern w:val="0"/>
          <w:sz w:val="24"/>
          <w:szCs w:val="24"/>
          <w:bdr w:val="none" w:color="auto" w:sz="0" w:space="0"/>
          <w:vertAlign w:val="superscript"/>
          <w:lang w:val="en-US" w:eastAsia="zh-CN" w:bidi="ar"/>
        </w:rPr>
        <w:t>[55]</w:t>
      </w:r>
      <w:r>
        <w:rPr>
          <w:rFonts w:hint="eastAsia" w:ascii="宋体" w:hAnsi="宋体" w:eastAsia="宋体" w:cs="宋体"/>
          <w:color w:val="333333"/>
          <w:kern w:val="0"/>
          <w:sz w:val="24"/>
          <w:szCs w:val="24"/>
          <w:bdr w:val="none" w:color="auto" w:sz="0" w:space="0"/>
          <w:lang w:val="en-US" w:eastAsia="zh-CN" w:bidi="ar"/>
        </w:rPr>
        <w:t>52万公顷，比上年下降2.9%。其中，工矿仓储用地12万公顷，下降3.2%；房地产用地</w:t>
      </w:r>
      <w:r>
        <w:rPr>
          <w:rFonts w:hint="eastAsia" w:ascii="宋体" w:hAnsi="宋体" w:eastAsia="宋体" w:cs="宋体"/>
          <w:color w:val="0000FF"/>
          <w:kern w:val="0"/>
          <w:sz w:val="24"/>
          <w:szCs w:val="24"/>
          <w:bdr w:val="none" w:color="auto" w:sz="0" w:space="0"/>
          <w:vertAlign w:val="superscript"/>
          <w:lang w:val="en-US" w:eastAsia="zh-CN" w:bidi="ar"/>
        </w:rPr>
        <w:t>[56]</w:t>
      </w:r>
      <w:r>
        <w:rPr>
          <w:rFonts w:hint="eastAsia" w:ascii="宋体" w:hAnsi="宋体" w:eastAsia="宋体" w:cs="宋体"/>
          <w:color w:val="333333"/>
          <w:kern w:val="0"/>
          <w:sz w:val="24"/>
          <w:szCs w:val="24"/>
          <w:bdr w:val="none" w:color="auto" w:sz="0" w:space="0"/>
          <w:lang w:val="en-US" w:eastAsia="zh-CN" w:bidi="ar"/>
        </w:rPr>
        <w:t>11万公顷，下降10.3%；基础设施等用地29万公顷，增长0.2%。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水资源总量30150亿立方米。全年平均降水量730毫米。年末全国监测的614座大型水库蓄水总量3409亿立方米，比上年末蓄水量略有减少。全年总用水量6150亿立方米，比上年增长0.8%。其中，生活用水增长2.7%，工业用水减少0.4%，农业用水增长0.7%，生态补水增长1.9%。万元国内生产总值用水量</w:t>
      </w:r>
      <w:r>
        <w:rPr>
          <w:rFonts w:hint="eastAsia" w:ascii="宋体" w:hAnsi="宋体" w:eastAsia="宋体" w:cs="宋体"/>
          <w:color w:val="0000FF"/>
          <w:kern w:val="0"/>
          <w:sz w:val="24"/>
          <w:szCs w:val="24"/>
          <w:bdr w:val="none" w:color="auto" w:sz="0" w:space="0"/>
          <w:vertAlign w:val="superscript"/>
          <w:lang w:val="en-US" w:eastAsia="zh-CN" w:bidi="ar"/>
        </w:rPr>
        <w:t>[57]</w:t>
      </w:r>
      <w:r>
        <w:rPr>
          <w:rFonts w:hint="eastAsia" w:ascii="宋体" w:hAnsi="宋体" w:eastAsia="宋体" w:cs="宋体"/>
          <w:color w:val="333333"/>
          <w:kern w:val="0"/>
          <w:sz w:val="24"/>
          <w:szCs w:val="24"/>
          <w:bdr w:val="none" w:color="auto" w:sz="0" w:space="0"/>
          <w:lang w:val="en-US" w:eastAsia="zh-CN" w:bidi="ar"/>
        </w:rPr>
        <w:t>84立方米，比上年下降5.6%。万元工业增加值用水量53立方米，下降6.0%。人均用水量446立方米，比上年增长0.2%。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完成造林面积679万公顷，其中人工造林面积381万公顷，占全部造林面积的56.1%。森林抚育面积837万公顷。截至年底，自然保护区达到2750个，其中国家级自然保护区446个。新增水土流失治理面积5.4万平方公里，新增实施水土流失地区封育保护面积1.6万平方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初步核算，全年能源消费总量43.6亿吨标准煤，比上年增长1.4%。煤炭消费量下降4.7%，原油消费量增长5.5%，天然气消费量增长8.0%，电力消费量增长5.0%。煤炭消费量占能源消费总量的62.0%，比上年下降2.0个百分点；水电、风电、核电、天然气等清洁能源消费量占能源消费总量的19.7%，上升1.7个百分点。全国万元国内生产总值能耗下降5.0%。工业企业吨粗铜综合能耗下降9.45%，吨钢综合能耗下降0.08%，单位烧碱综合能耗下降2.08%，吨水泥综合能耗下降1.81%，每千瓦时火力发电标准煤耗下降0.97%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"http://www.stats.gov.cn/tjsj/zxfb/201702/./W020170228373031206723_r75.gif"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57500"/>
            <wp:effectExtent l="0" t="0" r="0" b="0"/>
            <wp:docPr id="6"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3" descr="IMG_278"/>
                    <pic:cNvPicPr>
                      <a:picLocks noChangeAspect="1"/>
                    </pic:cNvPicPr>
                  </pic:nvPicPr>
                  <pic:blipFill>
                    <a:blip r:embed="rId26"/>
                    <a:stretch>
                      <a:fillRect/>
                    </a:stretch>
                  </pic:blipFill>
                  <pic:spPr>
                    <a:xfrm>
                      <a:off x="0" y="0"/>
                      <a:ext cx="502920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center"/>
        <w:textAlignment w:val="auto"/>
      </w:pPr>
      <w:r>
        <w:rPr>
          <w:rFonts w:hint="eastAsia" w:ascii="宋体" w:hAnsi="宋体" w:eastAsia="宋体" w:cs="宋体"/>
          <w:color w:val="333333"/>
          <w:kern w:val="0"/>
          <w:sz w:val="24"/>
          <w:szCs w:val="24"/>
          <w:bdr w:val="none" w:color="auto" w:sz="0" w:space="0"/>
          <w:lang w:val="en-US" w:eastAsia="zh-CN" w:bidi="ar"/>
        </w:rPr>
        <w:fldChar w:fldCharType="begin"/>
      </w:r>
      <w:r>
        <w:rPr>
          <w:rFonts w:hint="eastAsia" w:ascii="宋体" w:hAnsi="宋体" w:eastAsia="宋体" w:cs="宋体"/>
          <w:color w:val="333333"/>
          <w:kern w:val="0"/>
          <w:sz w:val="24"/>
          <w:szCs w:val="24"/>
          <w:bdr w:val="none" w:color="auto" w:sz="0" w:space="0"/>
          <w:lang w:val="en-US" w:eastAsia="zh-CN" w:bidi="ar"/>
        </w:rPr>
        <w:instrText xml:space="preserve">INCLUDEPICTURE \d "http://www.stats.gov.cn/tjsj/zxfb/201702/./W020170228373031244004_r75.gif" \* MERGEFORMATINET </w:instrText>
      </w:r>
      <w:r>
        <w:rPr>
          <w:rFonts w:hint="eastAsia" w:ascii="宋体" w:hAnsi="宋体" w:eastAsia="宋体" w:cs="宋体"/>
          <w:color w:val="333333"/>
          <w:kern w:val="0"/>
          <w:sz w:val="24"/>
          <w:szCs w:val="24"/>
          <w:bdr w:val="none" w:color="auto" w:sz="0" w:space="0"/>
          <w:lang w:val="en-US" w:eastAsia="zh-CN" w:bidi="ar"/>
        </w:rPr>
        <w:fldChar w:fldCharType="separate"/>
      </w:r>
      <w:r>
        <w:rPr>
          <w:rFonts w:hint="eastAsia" w:ascii="宋体" w:hAnsi="宋体" w:eastAsia="宋体" w:cs="宋体"/>
          <w:color w:val="333333"/>
          <w:kern w:val="0"/>
          <w:sz w:val="24"/>
          <w:szCs w:val="24"/>
          <w:bdr w:val="none" w:color="auto" w:sz="0" w:space="0"/>
          <w:lang w:val="en-US" w:eastAsia="zh-CN" w:bidi="ar"/>
        </w:rPr>
        <w:drawing>
          <wp:inline distT="0" distB="0" distL="114300" distR="114300">
            <wp:extent cx="5029200" cy="2857500"/>
            <wp:effectExtent l="0" t="0" r="0" b="0"/>
            <wp:docPr id="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descr="IMG_279"/>
                    <pic:cNvPicPr>
                      <a:picLocks noChangeAspect="1"/>
                    </pic:cNvPicPr>
                  </pic:nvPicPr>
                  <pic:blipFill>
                    <a:blip r:embed="rId27"/>
                    <a:stretch>
                      <a:fillRect/>
                    </a:stretch>
                  </pic:blipFill>
                  <pic:spPr>
                    <a:xfrm>
                      <a:off x="0" y="0"/>
                      <a:ext cx="5029200" cy="2857500"/>
                    </a:xfrm>
                    <a:prstGeom prst="rect">
                      <a:avLst/>
                    </a:prstGeom>
                    <a:noFill/>
                    <a:ln w="9525">
                      <a:noFill/>
                    </a:ln>
                  </pic:spPr>
                </pic:pic>
              </a:graphicData>
            </a:graphic>
          </wp:inline>
        </w:drawing>
      </w:r>
      <w:r>
        <w:rPr>
          <w:rFonts w:hint="eastAsia" w:ascii="宋体" w:hAnsi="宋体" w:eastAsia="宋体" w:cs="宋体"/>
          <w:color w:val="333333"/>
          <w:kern w:val="0"/>
          <w:sz w:val="24"/>
          <w:szCs w:val="24"/>
          <w:bdr w:val="none" w:color="auto" w:sz="0" w:space="0"/>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近岸海域417个海水水质监测点中，达到国家一、二类海水水质标准的监测点占73.4%，三类海水占10.3%，四类、劣四类海水占16.3%。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在监测的338个城市中，城市空气质量达标的城市占24.9%，未达标的城市占75.1%。细颗粒物（PM</w:t>
      </w:r>
      <w:r>
        <w:rPr>
          <w:rFonts w:hint="eastAsia" w:ascii="宋体" w:hAnsi="宋体" w:eastAsia="宋体" w:cs="宋体"/>
          <w:color w:val="333333"/>
          <w:kern w:val="0"/>
          <w:sz w:val="24"/>
          <w:szCs w:val="24"/>
          <w:bdr w:val="none" w:color="auto" w:sz="0" w:space="0"/>
          <w:vertAlign w:val="subscript"/>
          <w:lang w:val="en-US" w:eastAsia="zh-CN" w:bidi="ar"/>
        </w:rPr>
        <w:t>2.5</w:t>
      </w:r>
      <w:r>
        <w:rPr>
          <w:rFonts w:hint="eastAsia" w:ascii="宋体" w:hAnsi="宋体" w:eastAsia="宋体" w:cs="宋体"/>
          <w:color w:val="333333"/>
          <w:kern w:val="0"/>
          <w:sz w:val="24"/>
          <w:szCs w:val="24"/>
          <w:bdr w:val="none" w:color="auto" w:sz="0" w:space="0"/>
          <w:lang w:val="en-US" w:eastAsia="zh-CN" w:bidi="ar"/>
        </w:rPr>
        <w:t>）未达标地级及以上城市年平均浓度52微克/立方米，比上年下降8.8%。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在监测的322个城市中，城市区域声环境质量好的城市占5.0%，较好的占68.3%，一般的占26.1%，较差的占0.6%。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全年平均气温为10.49℃，比上年下降0.13℃。共有8个台风登陆。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年末城市污水处理厂日处理能力14823万立方米，比上年末增长5.6%；城市污水处理率为92.4%，提高0.5个百分点。城市生活垃圾无害化处理率为95.0%，提高0.9个百分点。城市集中供热面积70.7亿平方米，增长5.2%。城市建成区绿地面积197.1万公顷，增长3.3%；建成区绿地率为36.44%，提高0.08个百分点；人均公园绿地面积13.45平方米，增加0.10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农作物受灾面积2622万公顷，其中绝收290万公顷。全年因洪涝和地质灾害造成直接经济损失3134亿元，因旱灾造成直接经济损失418亿元，因低温冷冻和雪灾造成直接经济损失179亿元，因海洋灾害造成直接经济损失50亿元。全年大陆地区共发生5.0级以上地震18次，成灾16次，造成直接经济损失67亿元。全年共发生森林火灾2034起，森林火灾受害森林面积0.6万公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全年各类生产安全事故</w:t>
      </w:r>
      <w:r>
        <w:rPr>
          <w:rFonts w:hint="eastAsia" w:ascii="宋体" w:hAnsi="宋体" w:eastAsia="宋体" w:cs="宋体"/>
          <w:color w:val="0000FF"/>
          <w:kern w:val="0"/>
          <w:sz w:val="24"/>
          <w:szCs w:val="24"/>
          <w:bdr w:val="none" w:color="auto" w:sz="0" w:space="0"/>
          <w:vertAlign w:val="superscript"/>
          <w:lang w:val="en-US" w:eastAsia="zh-CN" w:bidi="ar"/>
        </w:rPr>
        <w:t>[58]</w:t>
      </w:r>
      <w:r>
        <w:rPr>
          <w:rFonts w:hint="eastAsia" w:ascii="宋体" w:hAnsi="宋体" w:eastAsia="宋体" w:cs="宋体"/>
          <w:color w:val="333333"/>
          <w:kern w:val="0"/>
          <w:sz w:val="24"/>
          <w:szCs w:val="24"/>
          <w:bdr w:val="none" w:color="auto" w:sz="0" w:space="0"/>
          <w:lang w:val="en-US" w:eastAsia="zh-CN" w:bidi="ar"/>
        </w:rPr>
        <w:t>共死亡43062人。亿元国内生产总值生产安全事故死亡人数0.058人，按可比口径比上年下降10.8%；工矿商贸企业就业人员10万人生产安全事故死亡人数1.702人，按可比口径下降2.3%；道路交通事故万车死亡人数2.1人，与上年持平；煤矿百万吨死亡人数0.156人，下降3.7%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宋体" w:hAnsi="宋体" w:eastAsia="宋体" w:cs="宋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b/>
          <w:color w:val="333333"/>
          <w:kern w:val="0"/>
          <w:sz w:val="24"/>
          <w:szCs w:val="24"/>
          <w:bdr w:val="none" w:color="auto" w:sz="0" w:space="0"/>
          <w:lang w:val="en-US" w:eastAsia="zh-CN" w:bidi="ar"/>
        </w:rPr>
        <w:t>注释：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[1]本公报中数据均为初步统计数。各项统计数据均未包括香港特别行政区、澳门特别行政区和台湾省。部分数据因四舍五入的原因，存在着与分项合计不等的情况。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[2]国内生产总值、各产业增加值和人均国内生产总值绝对数按现价计算，增长速度按不变价格计算。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[3]国民总收入，原称国民生产总值，是指一个国家或地区所有常住单位在一定时期内所获得的初次分配收入总额。它等于国内生产总值加上来自国外的净要素收入。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[4]人户分离的人口是指居住地与户口登记地所在的乡镇街道不一致且离开户口登记地半年及以上的人口。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[5]流动人口是指人户分离人口中扣除市辖区内人户分离的人口。市辖区内人户分离的人口是指一个直辖市或地级市所辖区内和区与区之间，居住地和户口登记地不在同一乡镇街道的人口。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[6]2016年年末，0-14岁（含不满15周岁）人口为23008万人，15-59岁（含不满60周岁）人口为92177万人。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[7]年度农民工数量包括年内在本乡镇以外从业6个月及以上的外出农民工和在本乡镇内从事非农产业6个月及以上的本地农民工两部分。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[8]全员劳动生产率为国内生产总值（以2015年价格计算）与全部就业人员的比率。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[9]农产品生产者价格是指农产品生产者直接出售其产品时的价格。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[10]居住类价格包括租赁房房租、住房保养维修及管理、水电燃料等价格。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[11]为推进财政资金统筹使用，2016年起将政府住房基金等5个项目从政府性基金预算转列一般公共预算，将从国有资本经营预算调入一般公共预算的资金由直接列为一般公共预算收入调整列为财政调入资金。因此，上年基数中考虑了上述因素影响，并以此为基础计算同口径增减额和增减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[12]工业战略性新兴产业包括节能环保产业，新一代信息技术产业，生物产业，高端设备制造产业，新能源产业，新材料产业，新能源汽车产业等七大产业。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[13]高技术制造业包括医药制造业，航空、航天器及设备制造业，电子及通信设备制造业，计算机及办公设备制造业，医疗仪器设备及仪器仪表制造业，信息化学品制造业。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[14]装备制造业包括金属制品业，通用设备制造业，专用设备制造业，汽车制造业，铁路、船舶、航空航天和其他运输设备制造业，电气机械和器材制造业，计算机、通信和其他电子设备制造业，仪器仪表制造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[15]六大高耗能行业包括石油加工、炼焦和核燃料加工业，化学原料和化学制品制造业，非金属矿物制品业，黑色金属冶炼和压延加工业，有色金属冶炼和压延加工业，电力、热力生产和供应业。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[16]火电包括燃煤发电量，燃油发电量，燃气发电量，余热、余压、余气发电量，垃圾焚烧发电量，生物质发电量。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[17]钢材产量数据中含企业之间重复加工钢材约35443万吨。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[18]少量发电装机容量（如地热等）公报中未列出。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[19]固定资产投资按东部、中部、西部和东北地区计算的合计数据小于全国数据，是因为有部分跨地区的投资未计算在地区数据中。其中，东部地区是指北京、天津、河北、上海、江苏、浙江、福建、山东、广东和海南10省（市）；中部地区是指山西、安徽、江西、河南、湖北和湖南6省；西部地区是指内蒙古、广西、重庆、四川、贵州、云南、西藏、陕西、甘肃、青海、宁夏和新疆12省（区、市）；东北地区是指辽宁、吉林和黑龙江3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[20]基础设施投资是指建造或购置为社会生产和生活提供基础性、大众性服务的工程和设施的支出。公报中的基础设施投资包括交通运输、邮政业，电信、广播电视和卫星传输服务业，互联网和相关服务业，水利、环境和公共设施管理业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[21]民间固定资产投资是指具有集体、私营、个人性质的内资企事业单位以及由其控股（包括绝对控股和相对控股）的企业单位建造或购置固定资产的投资。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[22]高技术产业投资包括医药制造、航空航天器及设备制造等六大类高技术制造业投资和信息服务、电子商务服务等九大类高技术服务业投资。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[23]房地产业投资除房地产开发投资外，还包括建设单位自建房屋以及物业管理、中介服务和其他房地产投资。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[24]高速铁路是指最高营运速度达到200公里/小时及以上的铁路。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[25]数据来源为各省（区、市）汇总上报截至2016年12月底建档立卡贫困户农村危房改造实际开工数。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[26]网上零售额是指通过公共网络交易平台（包括自建网站和第三方平台）实现的商品和服务零售额。其中，网上零售额包括的服务，以及少部分用于生产经营用或被转卖的商品不统计在社会消费品零售总额中。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[27]货物贸易、服务贸易、吸收外资采用人民币计价。对外投资和对外承包工程由于技术原因仍主要沿用美元计价。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[28]“一带一路”是指“丝绸之路经济带”和“21世纪海上丝绸之路”。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[29]服务进出口按照《国际收支手册（第六版）》标准统计，不含政府服务，增速按可比口径计算。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[30]邮电业务总量按2010年价格计算。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[31]移动电话交换机容量是指移动电话交换机根据一定话务模型和交换机处理能力计算出来的最大同时服务用户的数量。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[32]固定互联网宽带接入用户是指报告期末在电信企业登记注册，通过xDSL、FTTx+LAN、FTTH/0以及其他宽带接入方式和普通专线接入公众互联网的用户。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[33]固定互联网光纤宽带接入用户是指报告期末在电信企业登记注册，通过FTTH或FTTO方式接入公众互联网的用户。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[34]移动宽带用户是指报告期末在计费系统拥有使用信息，占用3G或4G网络资源的在网用户。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[35]手机上网人数是指过去半年通过手机接入并使用互联网的6周岁及以上中国居民数量。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[36]软件和信息技术服务业包括软件开发，信息系统集成服务，信息技术咨询服务，数据处理和存储服务，集成电路设计服务和其他信息技术服务等行业。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[37]社会融资规模增量是指一定时期内实体经济从金融体系获得的资金总额。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[38]定向增发不含资产认购部分。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[39]全国中小企业股份转让系统又称“新三板”，是2012年经国务院批准设立的全国性证券交易场所。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[40]公司信用类债券包括非金融企业债务融资工具、企业债券以及公司债、可转债等。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[41]原保险保费收入是指保险企业确认的原保险合同保费收入。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[42]全国居民收入增速快于分城乡居民收入增速的原因是：在城镇化过程中，一部分在农村收入较高的人口进入城镇地区，但在城镇属于较低收入人群，他们的迁移对城乡居民收入均有拉低作用。但无论在城镇还是农村，其收入增长效应都会体现在全体居民收入增长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[43]人均收入中位数是指将所有调查户按人均收入水平从低到高（或从高到低）顺序排列，处于最中间位置调查户的人均收入。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[44]全国居民五等份收入分组是指将所有调查户按人均收入水平从低到高顺序排列，平均分为五个等份，处于最高20%的收入群体为高收入组，依此类推依次为中等偏上收入组、中等收入组、中等偏下收入组、低收入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[45]贫困地区包括集中连片特困地区和片区外的国家扶贫开发工作重点县，共832个县，其中国家扶贫开发工作重点县共计592个。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[46]农村特困人员是指无劳动能力，无生活来源，无法定赡养、抚养、扶养义务人或者其法定义务人无履行义务能力的农村老年人、残疾人以及未满16周岁的未成年人。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[47]减贫人口等于当年贫困人口减去上年贫困人口，也相当于当年脱贫人口减去当年返贫人口。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[48]中等职业教育包括普通中专、成人中专、职业高中和技工学校。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[49]总流通人次是指本年度内到图书馆场馆接受图书馆服务的总人次，包括借阅书刊、咨询问题以及参加各类读者活动等。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[50]特种影片是指那些采用与常规影院放映在技术、设备、节目方面不同的电影展示方式，如巨幕电影、立体电影、立体特效（4D）电影、动感电影、球幕电影等。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[51]人均图书拥有量是指在一年内全国平均每人能拥有的当年出版图书册数。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[52]总诊疗人次指所有诊疗工作的总人次数，包括门诊、急诊、出诊、预约诊疗、单项健康检查、健康咨询指导（不含健康讲座）人次。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[53]出院人数指报告期内所有住院后出院的人数，包括医嘱离院、医嘱转其他医疗机构、非医嘱离院、死亡及其他人数，不含家庭病床撤床人数。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[54]社会服务床位数除收养性机构外，还包括救助类机构、社区类机构以及军休所、军供站等机构的床位。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[55]国有建设用地供应总量是指报告期内市、县人民政府根据年度土地供应计划依法以出让、划拨、租赁等方式将土地使用权提供给单位或个人使用的国有建设用地总量。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[56]房地产用地是指商服用地和住宅用地的总和。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[57]万元国内生产总值用水量、万元工业增加值用水量和万元国内生产总值能耗按2015年价格计算。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[58]2016年起，安全监管总局对生产安全事故统计制度进行改革，由于排除了非生产经营领域的事故，事故统计口径发生变化，数据同比按照可比口径计算。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b/>
          <w:color w:val="333333"/>
          <w:kern w:val="0"/>
          <w:sz w:val="24"/>
          <w:szCs w:val="24"/>
          <w:bdr w:val="none" w:color="auto" w:sz="0" w:space="0"/>
          <w:lang w:val="en-US" w:eastAsia="zh-CN" w:bidi="ar"/>
        </w:rPr>
        <w:t>　　资料来源：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right="0"/>
        <w:jc w:val="left"/>
        <w:textAlignment w:val="auto"/>
      </w:pPr>
      <w:r>
        <w:rPr>
          <w:rFonts w:hint="eastAsia" w:ascii="楷体" w:hAnsi="楷体" w:eastAsia="楷体" w:cs="楷体"/>
          <w:color w:val="333333"/>
          <w:kern w:val="0"/>
          <w:sz w:val="24"/>
          <w:szCs w:val="24"/>
          <w:bdr w:val="none" w:color="auto" w:sz="0" w:space="0"/>
          <w:lang w:val="en-US" w:eastAsia="zh-CN" w:bidi="ar"/>
        </w:rPr>
        <w:t>　　本公报中户籍人口城镇化率、民用汽车、交通事故数据来自公安部；城镇新增就业、登记失业率、社会保障、技工学校数据来自人力资源社会保障部；财政数据来自财政部；外汇储备、汇率、货币金融、公司信用类债券数据来自人民银行；水产品产量数据来自农业部；木材产量、林业、森林火灾数据来自林业局；灌溉面积、水资源数据来自水利部；发电装机容量、新增220千伏及以上变电设备数据来自中电联；新建铁路投产里程、增新建铁路复线投产里程、电气化铁路投产里程、铁路运输数据来自铁路总公司；新改建公路里程、港口万吨级码头泊位新增吞吐能力、公路运输、水运、港口货物吞吐量数据来自交通运输部；新增民用运输机场、民航数据来自民航局；新增光缆线路长度、电话交换机容量、电话用户、宽带用户、移动互联网接入流量、上网人数、互联网普及率、软件业务收入等数据来自工业和信息化部；农村地区互联网普及率数据来自中国互联网络信息中心；棚户区住房改造、农村地区建档立卡贫困户危房改造、城市污水处理、城市垃圾处理、城市集中供热面积、建成区绿地数据来自住房城乡建设部；货物进出口数据来自海关总署；服务进出口、外商直接投资、对外直接投资、对外承包工程、对外劳务合作等数据来自商务部；管道数据来自中石油、中石化、中海油；邮政业务数据来自邮政局；旅游数据来自旅游局、公安部；上市公司数据来自证监会；保险业数据来自保监会；城乡低保、农村特困人员救助供养、社会服务、农作物受灾面积、洪涝地质灾害造成直接经济损失、旱灾造成直接经济损失、低温冷冻和雪灾造成直接经济损失来自民政部；教育数据来自教育部；重点研发计划、科技重大专项、国家重点实验室、科技成果转化引导基金、技术合同等数据来自科技部；自然科学基金项目数据来自自然基金委；国家工程研究中心、企业技术中心等数据来自发展改革委；专利数据来自知识产权局；宇航发射数据来自国防科工局；质量检验、国家标准制定修订等数据来自质检总局；艺术表演团体、博物馆、公共图书馆、文化馆数据来自文化部；广播电视、电影、报纸、期刊、图书数据来自新闻出版广电总局；档案数据来自档案局；体育数据来自体育总局；残疾人运动员数据来自中国残联；卫生数据来自卫生计生委；国有建设用地供应数据来自国土资源部；自然保护区、环境监测数据来自环境保护部；平均气温、登陆台风数据来自气象局；海洋灾害造成直接经济损失数据来自海洋局；地震次数、地震灾害直接经济损失数据来自地震局；安全生产数据来自安全监管总局；其他数据均来自国家统计局。</w:t>
      </w:r>
    </w:p>
    <w:p>
      <w:pPr>
        <w:keepNext w:val="0"/>
        <w:keepLines w:val="0"/>
        <w:pageBreakBefore w:val="0"/>
        <w:kinsoku/>
        <w:wordWrap/>
        <w:overflowPunct/>
        <w:topLinePunct w:val="0"/>
        <w:autoSpaceDE/>
        <w:autoSpaceDN/>
        <w:bidi w:val="0"/>
        <w:adjustRightIn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2137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FollowedHyperlink"/>
    <w:basedOn w:val="4"/>
    <w:uiPriority w:val="0"/>
    <w:rPr>
      <w:color w:val="333333"/>
      <w:u w:val="none"/>
      <w:bdr w:val="none" w:color="auto" w:sz="0" w:space="0"/>
    </w:rPr>
  </w:style>
  <w:style w:type="character" w:styleId="6">
    <w:name w:val="Hyperlink"/>
    <w:basedOn w:val="4"/>
    <w:uiPriority w:val="0"/>
    <w:rPr>
      <w:color w:val="333333"/>
      <w:u w:val="none"/>
      <w:bdr w:val="none" w:color="auto" w:sz="0" w:space="0"/>
    </w:rPr>
  </w:style>
  <w:style w:type="character" w:customStyle="1" w:styleId="8">
    <w:name w:val="xilan_titf1"/>
    <w:basedOn w:val="4"/>
    <w:uiPriority w:val="0"/>
    <w:rPr>
      <w:color w:val="333333"/>
      <w:sz w:val="21"/>
      <w:szCs w:val="21"/>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GIF"/><Relationship Id="rId26" Type="http://schemas.openxmlformats.org/officeDocument/2006/relationships/image" Target="media/image23.GIF"/><Relationship Id="rId25" Type="http://schemas.openxmlformats.org/officeDocument/2006/relationships/image" Target="media/image22.GIF"/><Relationship Id="rId24" Type="http://schemas.openxmlformats.org/officeDocument/2006/relationships/image" Target="media/image21.GIF"/><Relationship Id="rId23" Type="http://schemas.openxmlformats.org/officeDocument/2006/relationships/image" Target="media/image20.GIF"/><Relationship Id="rId22" Type="http://schemas.openxmlformats.org/officeDocument/2006/relationships/image" Target="media/image19.GIF"/><Relationship Id="rId21" Type="http://schemas.openxmlformats.org/officeDocument/2006/relationships/image" Target="media/image18.GIF"/><Relationship Id="rId20" Type="http://schemas.openxmlformats.org/officeDocument/2006/relationships/image" Target="media/image17.GIF"/><Relationship Id="rId2" Type="http://schemas.openxmlformats.org/officeDocument/2006/relationships/settings" Target="settings.xml"/><Relationship Id="rId19" Type="http://schemas.openxmlformats.org/officeDocument/2006/relationships/image" Target="media/image16.GIF"/><Relationship Id="rId18" Type="http://schemas.openxmlformats.org/officeDocument/2006/relationships/image" Target="media/image15.GIF"/><Relationship Id="rId17" Type="http://schemas.openxmlformats.org/officeDocument/2006/relationships/image" Target="media/image14.GIF"/><Relationship Id="rId16" Type="http://schemas.openxmlformats.org/officeDocument/2006/relationships/image" Target="media/image13.GIF"/><Relationship Id="rId15" Type="http://schemas.openxmlformats.org/officeDocument/2006/relationships/image" Target="media/image12.GIF"/><Relationship Id="rId14" Type="http://schemas.openxmlformats.org/officeDocument/2006/relationships/image" Target="media/image11.GIF"/><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2017-03-01T01:46:56Z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